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BB" w:rsidRDefault="000A23BB" w:rsidP="000A23BB">
      <w:pPr>
        <w:spacing w:after="240"/>
        <w:rPr>
          <w:rFonts w:ascii="Times New Roman" w:hAnsi="Times New Roman"/>
          <w:sz w:val="22"/>
        </w:rPr>
      </w:pPr>
      <w:r>
        <w:rPr>
          <w:rFonts w:ascii="Times New Roman" w:hAnsi="Times New Roman"/>
          <w:sz w:val="22"/>
        </w:rPr>
        <w:t>Appendix 2</w:t>
      </w:r>
    </w:p>
    <w:p w:rsidR="000A23BB" w:rsidRDefault="000A23BB" w:rsidP="000A23BB">
      <w:pPr>
        <w:spacing w:after="240"/>
        <w:jc w:val="center"/>
        <w:rPr>
          <w:rFonts w:ascii="Times New Roman" w:hAnsi="Times New Roman"/>
          <w:b/>
          <w:sz w:val="28"/>
        </w:rPr>
      </w:pPr>
      <w:r>
        <w:rPr>
          <w:rFonts w:ascii="Times New Roman" w:hAnsi="Times New Roman"/>
          <w:b/>
          <w:sz w:val="28"/>
        </w:rPr>
        <w:t>Clearing Rules of the Shanghai Futures Exchange</w:t>
      </w:r>
    </w:p>
    <w:p w:rsidR="000A23BB" w:rsidRDefault="000A23BB" w:rsidP="000A23BB">
      <w:pPr>
        <w:spacing w:after="240"/>
        <w:jc w:val="center"/>
        <w:rPr>
          <w:rFonts w:ascii="Times New Roman" w:hAnsi="Times New Roman"/>
          <w:sz w:val="22"/>
        </w:rPr>
      </w:pPr>
      <w:r>
        <w:rPr>
          <w:rFonts w:ascii="Times New Roman" w:hAnsi="Times New Roman"/>
          <w:sz w:val="22"/>
        </w:rPr>
        <w:t>(Amended)</w:t>
      </w:r>
    </w:p>
    <w:p w:rsidR="000A23BB" w:rsidRDefault="000A23BB" w:rsidP="000A23BB">
      <w:pPr>
        <w:spacing w:after="240"/>
        <w:rPr>
          <w:rFonts w:ascii="Times New Roman" w:hAnsi="Times New Roman"/>
          <w:sz w:val="22"/>
        </w:rPr>
      </w:pPr>
    </w:p>
    <w:p w:rsidR="000A23BB" w:rsidRDefault="000A23BB" w:rsidP="000A23BB">
      <w:pPr>
        <w:spacing w:after="240"/>
        <w:rPr>
          <w:rFonts w:ascii="Times New Roman" w:hAnsi="Times New Roman"/>
          <w:sz w:val="22"/>
        </w:rPr>
      </w:pPr>
      <w:r>
        <w:rPr>
          <w:rFonts w:ascii="Times New Roman" w:hAnsi="Times New Roman"/>
          <w:b/>
          <w:sz w:val="22"/>
        </w:rPr>
        <w:t xml:space="preserve">Article </w:t>
      </w:r>
      <w:proofErr w:type="gramStart"/>
      <w:r>
        <w:rPr>
          <w:rFonts w:ascii="Times New Roman" w:hAnsi="Times New Roman"/>
          <w:b/>
          <w:sz w:val="22"/>
        </w:rPr>
        <w:t>7</w:t>
      </w:r>
      <w:r>
        <w:rPr>
          <w:rFonts w:ascii="Times New Roman" w:hAnsi="Times New Roman" w:hint="eastAsia"/>
          <w:b/>
          <w:sz w:val="22"/>
        </w:rPr>
        <w:t xml:space="preserve"> </w:t>
      </w:r>
      <w:r>
        <w:rPr>
          <w:rFonts w:ascii="Times New Roman" w:hAnsi="Times New Roman" w:hint="eastAsia"/>
          <w:sz w:val="22"/>
        </w:rPr>
        <w:t xml:space="preserve"> </w:t>
      </w:r>
      <w:r>
        <w:rPr>
          <w:rFonts w:ascii="Times New Roman" w:hAnsi="Times New Roman"/>
          <w:sz w:val="22"/>
        </w:rPr>
        <w:t>A</w:t>
      </w:r>
      <w:proofErr w:type="gramEnd"/>
      <w:r>
        <w:rPr>
          <w:rFonts w:ascii="Times New Roman" w:hAnsi="Times New Roman"/>
          <w:sz w:val="22"/>
        </w:rPr>
        <w:t xml:space="preserve"> clearing house has the following responsibilities:</w:t>
      </w:r>
    </w:p>
    <w:p w:rsidR="000A23BB" w:rsidRDefault="000A23BB" w:rsidP="000A23BB">
      <w:pPr>
        <w:spacing w:after="240"/>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to</w:t>
      </w:r>
      <w:proofErr w:type="gramEnd"/>
      <w:r>
        <w:rPr>
          <w:rFonts w:ascii="Times New Roman" w:hAnsi="Times New Roman"/>
          <w:sz w:val="22"/>
        </w:rPr>
        <w:t xml:space="preserve"> control clearing risks;</w:t>
      </w:r>
    </w:p>
    <w:p w:rsidR="000A23BB" w:rsidRDefault="000A23BB" w:rsidP="000A23BB">
      <w:pPr>
        <w:spacing w:after="240"/>
        <w:rPr>
          <w:rFonts w:ascii="Times New Roman" w:hAnsi="Times New Roman"/>
          <w:sz w:val="22"/>
        </w:rPr>
      </w:pPr>
      <w:r>
        <w:rPr>
          <w:rFonts w:ascii="Times New Roman" w:hAnsi="Times New Roman"/>
          <w:sz w:val="22"/>
        </w:rPr>
        <w:t xml:space="preserve">(ii) </w:t>
      </w:r>
      <w:proofErr w:type="gramStart"/>
      <w:r>
        <w:rPr>
          <w:rFonts w:ascii="Times New Roman" w:hAnsi="Times New Roman"/>
          <w:sz w:val="22"/>
        </w:rPr>
        <w:t>to</w:t>
      </w:r>
      <w:proofErr w:type="gramEnd"/>
      <w:r>
        <w:rPr>
          <w:rFonts w:ascii="Times New Roman" w:hAnsi="Times New Roman"/>
          <w:sz w:val="22"/>
        </w:rPr>
        <w:t xml:space="preserve"> create and prepare members’ settlement statements;</w:t>
      </w:r>
    </w:p>
    <w:p w:rsidR="000A23BB" w:rsidRDefault="000A23BB" w:rsidP="000A23BB">
      <w:pPr>
        <w:spacing w:after="240"/>
        <w:rPr>
          <w:rFonts w:ascii="Times New Roman" w:hAnsi="Times New Roman"/>
          <w:sz w:val="22"/>
        </w:rPr>
      </w:pPr>
      <w:r>
        <w:rPr>
          <w:rFonts w:ascii="Times New Roman" w:hAnsi="Times New Roman"/>
          <w:sz w:val="22"/>
        </w:rPr>
        <w:t xml:space="preserve">(iii) </w:t>
      </w:r>
      <w:proofErr w:type="gramStart"/>
      <w:r>
        <w:rPr>
          <w:rFonts w:ascii="Times New Roman" w:hAnsi="Times New Roman"/>
          <w:sz w:val="22"/>
        </w:rPr>
        <w:t>to</w:t>
      </w:r>
      <w:proofErr w:type="gramEnd"/>
      <w:r>
        <w:rPr>
          <w:rFonts w:ascii="Times New Roman" w:hAnsi="Times New Roman"/>
          <w:sz w:val="22"/>
        </w:rPr>
        <w:t xml:space="preserve"> handle fund transfers;</w:t>
      </w:r>
    </w:p>
    <w:p w:rsidR="000A23BB" w:rsidRDefault="000A23BB" w:rsidP="000A23BB">
      <w:pPr>
        <w:spacing w:after="240"/>
        <w:rPr>
          <w:rFonts w:ascii="Times New Roman" w:hAnsi="Times New Roman"/>
          <w:sz w:val="22"/>
        </w:rPr>
      </w:pPr>
      <w:r>
        <w:rPr>
          <w:rFonts w:ascii="Times New Roman" w:hAnsi="Times New Roman"/>
          <w:sz w:val="22"/>
        </w:rPr>
        <w:t xml:space="preserve">(iv) </w:t>
      </w:r>
      <w:proofErr w:type="gramStart"/>
      <w:r>
        <w:rPr>
          <w:rFonts w:ascii="Times New Roman" w:hAnsi="Times New Roman"/>
          <w:sz w:val="22"/>
        </w:rPr>
        <w:t>to</w:t>
      </w:r>
      <w:proofErr w:type="gramEnd"/>
      <w:r>
        <w:rPr>
          <w:rFonts w:ascii="Times New Roman" w:hAnsi="Times New Roman"/>
          <w:sz w:val="22"/>
        </w:rPr>
        <w:t xml:space="preserve"> compile, record, and report clearing data;</w:t>
      </w:r>
    </w:p>
    <w:p w:rsidR="000A23BB" w:rsidRDefault="000A23BB" w:rsidP="000A23BB">
      <w:pPr>
        <w:spacing w:after="240"/>
        <w:rPr>
          <w:rFonts w:ascii="Times New Roman" w:hAnsi="Times New Roman"/>
          <w:sz w:val="22"/>
        </w:rPr>
      </w:pPr>
      <w:r>
        <w:rPr>
          <w:rFonts w:ascii="Times New Roman" w:hAnsi="Times New Roman"/>
          <w:sz w:val="22"/>
        </w:rPr>
        <w:t xml:space="preserve">(v) </w:t>
      </w:r>
      <w:proofErr w:type="gramStart"/>
      <w:r>
        <w:rPr>
          <w:rFonts w:ascii="Times New Roman" w:hAnsi="Times New Roman"/>
          <w:sz w:val="22"/>
        </w:rPr>
        <w:t>to</w:t>
      </w:r>
      <w:proofErr w:type="gramEnd"/>
      <w:r>
        <w:rPr>
          <w:rFonts w:ascii="Times New Roman" w:hAnsi="Times New Roman"/>
          <w:sz w:val="22"/>
        </w:rPr>
        <w:t xml:space="preserve"> resolve trade-related account disputes between members;</w:t>
      </w:r>
    </w:p>
    <w:p w:rsidR="000A23BB" w:rsidRDefault="000A23BB" w:rsidP="000A23BB">
      <w:pPr>
        <w:spacing w:after="240"/>
        <w:rPr>
          <w:rFonts w:ascii="Times New Roman" w:hAnsi="Times New Roman"/>
          <w:sz w:val="22"/>
        </w:rPr>
      </w:pPr>
      <w:r>
        <w:rPr>
          <w:rFonts w:ascii="Times New Roman" w:hAnsi="Times New Roman"/>
          <w:sz w:val="22"/>
        </w:rPr>
        <w:t xml:space="preserve">(vi) </w:t>
      </w:r>
      <w:proofErr w:type="gramStart"/>
      <w:r>
        <w:rPr>
          <w:rFonts w:ascii="Times New Roman" w:hAnsi="Times New Roman"/>
          <w:sz w:val="22"/>
        </w:rPr>
        <w:t>to</w:t>
      </w:r>
      <w:proofErr w:type="gramEnd"/>
      <w:r>
        <w:rPr>
          <w:rFonts w:ascii="Times New Roman" w:hAnsi="Times New Roman"/>
          <w:sz w:val="22"/>
        </w:rPr>
        <w:t xml:space="preserve"> handle delivery settlement; and</w:t>
      </w:r>
    </w:p>
    <w:p w:rsidR="000A23BB" w:rsidRDefault="000A23BB" w:rsidP="000A23BB">
      <w:pPr>
        <w:spacing w:after="240"/>
        <w:rPr>
          <w:rFonts w:ascii="Times New Roman" w:hAnsi="Times New Roman"/>
          <w:sz w:val="22"/>
        </w:rPr>
      </w:pPr>
      <w:r>
        <w:rPr>
          <w:rFonts w:ascii="Times New Roman" w:hAnsi="Times New Roman"/>
          <w:sz w:val="22"/>
        </w:rPr>
        <w:t xml:space="preserve">(vii) </w:t>
      </w:r>
      <w:proofErr w:type="gramStart"/>
      <w:r>
        <w:rPr>
          <w:rFonts w:ascii="Times New Roman" w:hAnsi="Times New Roman"/>
          <w:sz w:val="22"/>
        </w:rPr>
        <w:t>to</w:t>
      </w:r>
      <w:proofErr w:type="gramEnd"/>
      <w:r>
        <w:rPr>
          <w:rFonts w:ascii="Times New Roman" w:hAnsi="Times New Roman"/>
          <w:sz w:val="22"/>
        </w:rPr>
        <w:t xml:space="preserve"> manage margin in accordance with applicable rules.</w:t>
      </w:r>
    </w:p>
    <w:p w:rsidR="000A23BB" w:rsidRDefault="000A23BB" w:rsidP="000A23BB">
      <w:pPr>
        <w:spacing w:after="240"/>
        <w:rPr>
          <w:rFonts w:ascii="Times New Roman" w:hAnsi="Times New Roman"/>
          <w:sz w:val="22"/>
        </w:rPr>
      </w:pPr>
      <w:r>
        <w:rPr>
          <w:rFonts w:ascii="Times New Roman" w:hAnsi="Times New Roman"/>
          <w:b/>
          <w:sz w:val="22"/>
        </w:rPr>
        <w:t>Article 9</w:t>
      </w:r>
      <w:r>
        <w:rPr>
          <w:rFonts w:ascii="Times New Roman" w:hAnsi="Times New Roman"/>
          <w:sz w:val="22"/>
        </w:rPr>
        <w:tab/>
      </w:r>
      <w:r>
        <w:rPr>
          <w:rFonts w:ascii="Times New Roman" w:hAnsi="Times New Roman" w:hint="eastAsia"/>
          <w:sz w:val="22"/>
        </w:rPr>
        <w:t xml:space="preserve">  </w:t>
      </w:r>
      <w:r>
        <w:rPr>
          <w:rFonts w:ascii="Times New Roman" w:hAnsi="Times New Roman"/>
          <w:sz w:val="22"/>
        </w:rPr>
        <w:t>The Exchange may examine members’ settlement documents as well as financial statements and related records and books. Members shall cooperate with such examinations.</w:t>
      </w:r>
    </w:p>
    <w:p w:rsidR="000A23BB" w:rsidRDefault="000A23BB" w:rsidP="000A23BB">
      <w:pPr>
        <w:spacing w:after="240"/>
        <w:rPr>
          <w:rFonts w:ascii="Times New Roman" w:hAnsi="Times New Roman"/>
          <w:sz w:val="22"/>
        </w:rPr>
      </w:pPr>
      <w:r>
        <w:rPr>
          <w:rFonts w:ascii="Times New Roman" w:hAnsi="Times New Roman"/>
          <w:b/>
          <w:sz w:val="22"/>
        </w:rPr>
        <w:t>Article 10</w:t>
      </w:r>
      <w:r>
        <w:rPr>
          <w:rFonts w:ascii="Times New Roman" w:hAnsi="Times New Roman"/>
          <w:sz w:val="22"/>
        </w:rPr>
        <w:tab/>
        <w:t>Each member shall set up a clearing department. The clearing department of an FF Member shall handle the clearing activities between the FF Member and the Exchange and between the FF Member and its customers; that of a non-FF Member shall handle the clearing activities between the non-FF Member and the Exchange.</w:t>
      </w:r>
    </w:p>
    <w:p w:rsidR="000A23BB" w:rsidRDefault="000A23BB" w:rsidP="000A23BB">
      <w:pPr>
        <w:spacing w:after="240"/>
        <w:rPr>
          <w:rFonts w:ascii="Times New Roman" w:hAnsi="Times New Roman"/>
          <w:sz w:val="22"/>
        </w:rPr>
      </w:pPr>
      <w:r>
        <w:rPr>
          <w:rFonts w:ascii="Times New Roman" w:hAnsi="Times New Roman"/>
          <w:sz w:val="22"/>
        </w:rPr>
        <w:t>Each clearing department shall properly retain settlement documents as well as financial statements and related records and books for future inquiry and verification.</w:t>
      </w:r>
    </w:p>
    <w:p w:rsidR="000A23BB" w:rsidRDefault="000A23BB" w:rsidP="000A23BB">
      <w:pPr>
        <w:spacing w:after="240"/>
        <w:rPr>
          <w:rFonts w:ascii="Times New Roman" w:hAnsi="Times New Roman"/>
          <w:sz w:val="22"/>
        </w:rPr>
      </w:pPr>
      <w:r>
        <w:rPr>
          <w:rFonts w:ascii="Times New Roman" w:hAnsi="Times New Roman"/>
          <w:b/>
          <w:sz w:val="22"/>
        </w:rPr>
        <w:t>Article 18</w:t>
      </w:r>
      <w:r>
        <w:rPr>
          <w:rFonts w:ascii="Times New Roman" w:hAnsi="Times New Roman"/>
          <w:sz w:val="22"/>
        </w:rPr>
        <w:tab/>
        <w:t>A certified settlement bank has the right to:</w:t>
      </w:r>
    </w:p>
    <w:p w:rsidR="000A23BB" w:rsidRDefault="000A23BB" w:rsidP="000A23BB">
      <w:pPr>
        <w:spacing w:after="240"/>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open</w:t>
      </w:r>
      <w:proofErr w:type="gramEnd"/>
      <w:r>
        <w:rPr>
          <w:rFonts w:ascii="Times New Roman" w:hAnsi="Times New Roman"/>
          <w:sz w:val="22"/>
        </w:rPr>
        <w:t xml:space="preserve"> a clearing account for the Exchange, a futures settlement account for a member, and other clearing-related accounts;</w:t>
      </w:r>
    </w:p>
    <w:p w:rsidR="000A23BB" w:rsidRDefault="000A23BB" w:rsidP="000A23BB">
      <w:pPr>
        <w:spacing w:after="240"/>
        <w:rPr>
          <w:rFonts w:ascii="Times New Roman" w:hAnsi="Times New Roman"/>
          <w:sz w:val="22"/>
        </w:rPr>
      </w:pPr>
      <w:r>
        <w:rPr>
          <w:rFonts w:ascii="Times New Roman" w:hAnsi="Times New Roman"/>
          <w:b/>
          <w:sz w:val="22"/>
        </w:rPr>
        <w:t>Article 19</w:t>
      </w:r>
      <w:r>
        <w:rPr>
          <w:rFonts w:ascii="Times New Roman" w:hAnsi="Times New Roman"/>
          <w:sz w:val="22"/>
        </w:rPr>
        <w:tab/>
        <w:t>A certified settlement bank has the obligation to</w:t>
      </w:r>
      <w:r>
        <w:rPr>
          <w:rFonts w:ascii="Times New Roman" w:hAnsi="Times New Roman" w:hint="eastAsia"/>
          <w:sz w:val="22"/>
        </w:rPr>
        <w:t>:</w:t>
      </w:r>
    </w:p>
    <w:p w:rsidR="000A23BB" w:rsidRDefault="000A23BB" w:rsidP="000A23BB">
      <w:pPr>
        <w:spacing w:after="240"/>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prioritize</w:t>
      </w:r>
      <w:proofErr w:type="gramEnd"/>
      <w:r>
        <w:rPr>
          <w:rFonts w:ascii="Times New Roman" w:hAnsi="Times New Roman"/>
          <w:sz w:val="22"/>
        </w:rPr>
        <w:t xml:space="preserve"> the transfer of members’ funds according to the notes or data provided by the Exchange, and promptly inform the Exchange of the results of funds transfer and account balance changes;</w:t>
      </w:r>
    </w:p>
    <w:p w:rsidR="000A23BB" w:rsidRDefault="000A23BB" w:rsidP="000A23BB">
      <w:pPr>
        <w:spacing w:after="240"/>
        <w:rPr>
          <w:rFonts w:ascii="Times New Roman" w:hAnsi="Times New Roman"/>
          <w:sz w:val="22"/>
        </w:rPr>
      </w:pPr>
      <w:r>
        <w:rPr>
          <w:rFonts w:ascii="Times New Roman" w:hAnsi="Times New Roman"/>
          <w:sz w:val="22"/>
        </w:rPr>
        <w:t>(</w:t>
      </w:r>
      <w:proofErr w:type="gramStart"/>
      <w:r>
        <w:rPr>
          <w:rFonts w:ascii="Times New Roman" w:hAnsi="Times New Roman"/>
          <w:sz w:val="22"/>
        </w:rPr>
        <w:t>ii</w:t>
      </w:r>
      <w:proofErr w:type="gramEnd"/>
      <w:r>
        <w:rPr>
          <w:rFonts w:ascii="Times New Roman" w:hAnsi="Times New Roman"/>
          <w:sz w:val="22"/>
        </w:rPr>
        <w:t>) keep confidential the trade secrets of the Exchange and members;</w:t>
      </w:r>
    </w:p>
    <w:p w:rsidR="000A23BB" w:rsidRDefault="000A23BB" w:rsidP="000A23BB">
      <w:pPr>
        <w:spacing w:after="240"/>
        <w:rPr>
          <w:rFonts w:ascii="Times New Roman" w:hAnsi="Times New Roman"/>
          <w:sz w:val="22"/>
        </w:rPr>
      </w:pPr>
      <w:r>
        <w:rPr>
          <w:rFonts w:ascii="Times New Roman" w:hAnsi="Times New Roman"/>
          <w:sz w:val="22"/>
        </w:rPr>
        <w:lastRenderedPageBreak/>
        <w:t xml:space="preserve">(iii) </w:t>
      </w:r>
      <w:proofErr w:type="gramStart"/>
      <w:r>
        <w:rPr>
          <w:rFonts w:ascii="Times New Roman" w:hAnsi="Times New Roman"/>
          <w:sz w:val="22"/>
        </w:rPr>
        <w:t>assist</w:t>
      </w:r>
      <w:proofErr w:type="gramEnd"/>
      <w:r>
        <w:rPr>
          <w:rFonts w:ascii="Times New Roman" w:hAnsi="Times New Roman"/>
          <w:sz w:val="22"/>
        </w:rPr>
        <w:t xml:space="preserve"> the Exchange in mitigating any major risk at the Exchange; and</w:t>
      </w:r>
    </w:p>
    <w:p w:rsidR="000A23BB" w:rsidRDefault="000A23BB" w:rsidP="000A23BB">
      <w:pPr>
        <w:spacing w:after="240"/>
        <w:rPr>
          <w:rFonts w:ascii="Times New Roman" w:hAnsi="Times New Roman"/>
          <w:sz w:val="22"/>
        </w:rPr>
      </w:pPr>
      <w:r>
        <w:rPr>
          <w:rFonts w:ascii="Times New Roman" w:hAnsi="Times New Roman"/>
          <w:sz w:val="22"/>
        </w:rPr>
        <w:t xml:space="preserve">(iv) </w:t>
      </w:r>
      <w:proofErr w:type="gramStart"/>
      <w:r>
        <w:rPr>
          <w:rFonts w:ascii="Times New Roman" w:hAnsi="Times New Roman"/>
          <w:sz w:val="22"/>
        </w:rPr>
        <w:t>accept</w:t>
      </w:r>
      <w:proofErr w:type="gramEnd"/>
      <w:r>
        <w:rPr>
          <w:rFonts w:ascii="Times New Roman" w:hAnsi="Times New Roman"/>
          <w:sz w:val="22"/>
        </w:rPr>
        <w:t xml:space="preserve"> the supervision of the Exchange regarding its futures margin custody service, which entail:</w:t>
      </w:r>
    </w:p>
    <w:p w:rsidR="000A23BB" w:rsidRDefault="000A23BB" w:rsidP="000A23BB">
      <w:pPr>
        <w:spacing w:after="240"/>
        <w:rPr>
          <w:rFonts w:ascii="Times New Roman" w:hAnsi="Times New Roman"/>
          <w:sz w:val="22"/>
        </w:rPr>
      </w:pPr>
      <w:r>
        <w:rPr>
          <w:rFonts w:ascii="Times New Roman" w:hAnsi="Times New Roman"/>
          <w:sz w:val="22"/>
        </w:rPr>
        <w:t xml:space="preserve">(a) </w:t>
      </w:r>
      <w:proofErr w:type="gramStart"/>
      <w:r>
        <w:rPr>
          <w:rFonts w:ascii="Times New Roman" w:hAnsi="Times New Roman"/>
          <w:sz w:val="22"/>
        </w:rPr>
        <w:t>informing</w:t>
      </w:r>
      <w:proofErr w:type="gramEnd"/>
      <w:r>
        <w:rPr>
          <w:rFonts w:ascii="Times New Roman" w:hAnsi="Times New Roman"/>
          <w:sz w:val="22"/>
        </w:rPr>
        <w:t xml:space="preserve"> the Exchange of the balance of members’ futures settlement accounts;</w:t>
      </w:r>
    </w:p>
    <w:p w:rsidR="000A23BB" w:rsidRDefault="000A23BB" w:rsidP="000A23BB">
      <w:pPr>
        <w:spacing w:after="240"/>
        <w:rPr>
          <w:rFonts w:ascii="Times New Roman" w:hAnsi="Times New Roman"/>
          <w:sz w:val="22"/>
        </w:rPr>
      </w:pPr>
      <w:r>
        <w:rPr>
          <w:rFonts w:ascii="Times New Roman" w:hAnsi="Times New Roman"/>
          <w:sz w:val="22"/>
        </w:rPr>
        <w:t xml:space="preserve">(b) </w:t>
      </w:r>
      <w:proofErr w:type="gramStart"/>
      <w:r>
        <w:rPr>
          <w:rFonts w:ascii="Times New Roman" w:hAnsi="Times New Roman"/>
          <w:sz w:val="22"/>
        </w:rPr>
        <w:t>assisting</w:t>
      </w:r>
      <w:proofErr w:type="gramEnd"/>
      <w:r>
        <w:rPr>
          <w:rFonts w:ascii="Times New Roman" w:hAnsi="Times New Roman"/>
          <w:sz w:val="22"/>
        </w:rPr>
        <w:t xml:space="preserve"> the Exchange in verifying the source and destination of members’ funds as required by the Exchange;</w:t>
      </w:r>
    </w:p>
    <w:p w:rsidR="000A23BB" w:rsidRDefault="000A23BB" w:rsidP="000A23BB">
      <w:pPr>
        <w:spacing w:after="240"/>
        <w:rPr>
          <w:rFonts w:ascii="Times New Roman" w:hAnsi="Times New Roman"/>
          <w:sz w:val="22"/>
        </w:rPr>
      </w:pPr>
      <w:r>
        <w:rPr>
          <w:rFonts w:ascii="Times New Roman" w:hAnsi="Times New Roman"/>
          <w:sz w:val="22"/>
        </w:rPr>
        <w:t xml:space="preserve">(c) </w:t>
      </w:r>
      <w:proofErr w:type="gramStart"/>
      <w:r>
        <w:rPr>
          <w:rFonts w:ascii="Times New Roman" w:hAnsi="Times New Roman"/>
          <w:sz w:val="22"/>
        </w:rPr>
        <w:t>timely</w:t>
      </w:r>
      <w:proofErr w:type="gramEnd"/>
      <w:r>
        <w:rPr>
          <w:rFonts w:ascii="Times New Roman" w:hAnsi="Times New Roman"/>
          <w:sz w:val="22"/>
        </w:rPr>
        <w:t xml:space="preserve"> reporting to the Exchange of any funds clearing misconduct or risk of members;</w:t>
      </w:r>
    </w:p>
    <w:p w:rsidR="000A23BB" w:rsidRDefault="000A23BB" w:rsidP="000A23BB">
      <w:pPr>
        <w:spacing w:after="240"/>
        <w:rPr>
          <w:rFonts w:ascii="Times New Roman" w:hAnsi="Times New Roman"/>
          <w:sz w:val="22"/>
        </w:rPr>
      </w:pPr>
      <w:r>
        <w:rPr>
          <w:rFonts w:ascii="Times New Roman" w:hAnsi="Times New Roman"/>
          <w:sz w:val="22"/>
        </w:rPr>
        <w:t xml:space="preserve">(d) </w:t>
      </w:r>
      <w:proofErr w:type="gramStart"/>
      <w:r>
        <w:rPr>
          <w:rFonts w:ascii="Times New Roman" w:hAnsi="Times New Roman"/>
          <w:sz w:val="22"/>
        </w:rPr>
        <w:t>timely</w:t>
      </w:r>
      <w:proofErr w:type="gramEnd"/>
      <w:r>
        <w:rPr>
          <w:rFonts w:ascii="Times New Roman" w:hAnsi="Times New Roman"/>
          <w:sz w:val="22"/>
        </w:rPr>
        <w:t xml:space="preserve"> reporting to the Exchange of the status of pledge of members’ standard warrants; and</w:t>
      </w:r>
    </w:p>
    <w:p w:rsidR="000A23BB" w:rsidRDefault="000A23BB" w:rsidP="000A23BB">
      <w:pPr>
        <w:spacing w:after="240"/>
        <w:rPr>
          <w:rFonts w:ascii="Times New Roman" w:hAnsi="Times New Roman"/>
          <w:sz w:val="22"/>
        </w:rPr>
      </w:pPr>
      <w:r>
        <w:rPr>
          <w:rFonts w:ascii="Times New Roman" w:hAnsi="Times New Roman"/>
          <w:sz w:val="22"/>
        </w:rPr>
        <w:t xml:space="preserve">(e) </w:t>
      </w:r>
      <w:proofErr w:type="gramStart"/>
      <w:r>
        <w:rPr>
          <w:rFonts w:ascii="Times New Roman" w:hAnsi="Times New Roman"/>
          <w:sz w:val="22"/>
        </w:rPr>
        <w:t>carrying</w:t>
      </w:r>
      <w:proofErr w:type="gramEnd"/>
      <w:r>
        <w:rPr>
          <w:rFonts w:ascii="Times New Roman" w:hAnsi="Times New Roman"/>
          <w:sz w:val="22"/>
        </w:rPr>
        <w:t xml:space="preserve"> out the necessary regulatory measures with respect to funds in members’ futures settlement accounts as required by the CSRC or the Exchange.</w:t>
      </w:r>
    </w:p>
    <w:p w:rsidR="000A23BB" w:rsidRDefault="000A23BB" w:rsidP="000A23BB">
      <w:pPr>
        <w:spacing w:after="240"/>
        <w:rPr>
          <w:rFonts w:ascii="Times New Roman" w:hAnsi="Times New Roman"/>
          <w:sz w:val="22"/>
        </w:rPr>
      </w:pPr>
      <w:r>
        <w:rPr>
          <w:rFonts w:ascii="Times New Roman" w:hAnsi="Times New Roman"/>
          <w:b/>
          <w:sz w:val="22"/>
        </w:rPr>
        <w:t>Article 20</w:t>
      </w:r>
      <w:r>
        <w:rPr>
          <w:rFonts w:ascii="Times New Roman" w:hAnsi="Times New Roman"/>
          <w:sz w:val="22"/>
        </w:rPr>
        <w:tab/>
        <w:t>The Exchange will open a clearing account at each certified settlement bank to hold margin funds and other relevant funds of members.</w:t>
      </w:r>
    </w:p>
    <w:p w:rsidR="000A23BB" w:rsidRDefault="000A23BB" w:rsidP="000A23BB">
      <w:pPr>
        <w:spacing w:after="240"/>
        <w:rPr>
          <w:rFonts w:ascii="Times New Roman" w:hAnsi="Times New Roman"/>
          <w:sz w:val="22"/>
        </w:rPr>
      </w:pPr>
      <w:r>
        <w:rPr>
          <w:rFonts w:ascii="Times New Roman" w:hAnsi="Times New Roman"/>
          <w:b/>
          <w:sz w:val="22"/>
        </w:rPr>
        <w:t>Article 21</w:t>
      </w:r>
      <w:r>
        <w:rPr>
          <w:rFonts w:ascii="Times New Roman" w:hAnsi="Times New Roman"/>
          <w:sz w:val="22"/>
        </w:rPr>
        <w:tab/>
        <w:t>Each member shall open a futures settlement account at a certified settlement bank to hold margin funds and other relevant funds.</w:t>
      </w:r>
    </w:p>
    <w:p w:rsidR="000A23BB" w:rsidRDefault="000A23BB" w:rsidP="000A23BB">
      <w:pPr>
        <w:spacing w:after="240"/>
        <w:rPr>
          <w:rFonts w:ascii="Times New Roman" w:hAnsi="Times New Roman"/>
          <w:sz w:val="22"/>
        </w:rPr>
      </w:pPr>
      <w:r>
        <w:rPr>
          <w:rFonts w:ascii="Times New Roman" w:hAnsi="Times New Roman"/>
          <w:b/>
          <w:sz w:val="22"/>
        </w:rPr>
        <w:t>Article 22</w:t>
      </w:r>
      <w:r>
        <w:rPr>
          <w:rFonts w:ascii="Times New Roman" w:hAnsi="Times New Roman"/>
          <w:sz w:val="22"/>
        </w:rPr>
        <w:tab/>
        <w:t xml:space="preserve">Funds transfers between the Exchange and a member shall only be </w:t>
      </w:r>
      <w:proofErr w:type="gramStart"/>
      <w:r>
        <w:rPr>
          <w:rFonts w:ascii="Times New Roman" w:hAnsi="Times New Roman"/>
          <w:sz w:val="22"/>
        </w:rPr>
        <w:t>effected</w:t>
      </w:r>
      <w:proofErr w:type="gramEnd"/>
      <w:r>
        <w:rPr>
          <w:rFonts w:ascii="Times New Roman" w:hAnsi="Times New Roman"/>
          <w:sz w:val="22"/>
        </w:rPr>
        <w:t xml:space="preserve"> through the Exchange’s clearing account and the member’s futures settlement account.</w:t>
      </w:r>
    </w:p>
    <w:p w:rsidR="000A23BB" w:rsidRDefault="000A23BB" w:rsidP="000A23BB">
      <w:pPr>
        <w:spacing w:after="240"/>
        <w:rPr>
          <w:rFonts w:ascii="Times New Roman" w:hAnsi="Times New Roman"/>
          <w:sz w:val="22"/>
        </w:rPr>
      </w:pPr>
      <w:r>
        <w:rPr>
          <w:rFonts w:ascii="Times New Roman" w:hAnsi="Times New Roman"/>
          <w:b/>
          <w:sz w:val="22"/>
        </w:rPr>
        <w:t>Article 23</w:t>
      </w:r>
      <w:r>
        <w:rPr>
          <w:rFonts w:ascii="Times New Roman" w:hAnsi="Times New Roman"/>
          <w:sz w:val="22"/>
        </w:rPr>
        <w:tab/>
        <w:t>Margin funds deposited by members into the Exchange’s clearing account shall be accounted for separately by the Exchange. The Exchange shall establish a subsidiary account for each member and record and verify such entries as deposits and withdrawals, gains and losses, trade margin, and transaction fees in chronological order for each member.</w:t>
      </w:r>
    </w:p>
    <w:p w:rsidR="000A23BB" w:rsidRDefault="000A23BB" w:rsidP="000A23BB">
      <w:pPr>
        <w:spacing w:after="240"/>
        <w:rPr>
          <w:rFonts w:ascii="Times New Roman" w:hAnsi="Times New Roman"/>
          <w:sz w:val="22"/>
        </w:rPr>
      </w:pPr>
      <w:r>
        <w:rPr>
          <w:rFonts w:ascii="Times New Roman" w:hAnsi="Times New Roman"/>
          <w:b/>
          <w:sz w:val="22"/>
        </w:rPr>
        <w:t>Article 24</w:t>
      </w:r>
      <w:r>
        <w:rPr>
          <w:rFonts w:ascii="Times New Roman" w:hAnsi="Times New Roman"/>
          <w:sz w:val="22"/>
        </w:rPr>
        <w:tab/>
        <w:t>Margin funds deposited by customers into their carrying member’s futures settlement account shall be accounted for separately by the member. The member shall establish a subsidiary account for each customer and record and verify such entries as deposits and withdrawals, gains and losses, trade margin, and transaction fees in chronological order for each customer.</w:t>
      </w:r>
    </w:p>
    <w:p w:rsidR="000A23BB" w:rsidRDefault="000A23BB" w:rsidP="000A23BB">
      <w:pPr>
        <w:spacing w:after="240"/>
        <w:rPr>
          <w:rFonts w:ascii="Times New Roman" w:hAnsi="Times New Roman"/>
          <w:sz w:val="22"/>
        </w:rPr>
      </w:pPr>
      <w:r>
        <w:rPr>
          <w:rFonts w:ascii="Times New Roman" w:hAnsi="Times New Roman"/>
          <w:b/>
          <w:sz w:val="22"/>
        </w:rPr>
        <w:t>Article 25</w:t>
      </w:r>
      <w:r>
        <w:rPr>
          <w:rFonts w:ascii="Times New Roman" w:hAnsi="Times New Roman"/>
          <w:sz w:val="22"/>
        </w:rPr>
        <w:tab/>
        <w:t>The Exchange has the power to collect various receivables from a member’s futures settlement account through the certified settlement bank without notice to the member, and to inquire the balance and transaction history of the account at any time.</w:t>
      </w:r>
    </w:p>
    <w:p w:rsidR="000A23BB" w:rsidRDefault="000A23BB" w:rsidP="000A23BB">
      <w:pPr>
        <w:spacing w:after="240"/>
        <w:rPr>
          <w:rFonts w:ascii="Times New Roman" w:hAnsi="Times New Roman"/>
          <w:sz w:val="22"/>
        </w:rPr>
      </w:pPr>
      <w:r>
        <w:rPr>
          <w:rFonts w:ascii="Times New Roman" w:hAnsi="Times New Roman"/>
          <w:b/>
          <w:sz w:val="22"/>
        </w:rPr>
        <w:t>Article 26</w:t>
      </w:r>
      <w:r>
        <w:rPr>
          <w:rFonts w:ascii="Times New Roman" w:hAnsi="Times New Roman"/>
          <w:sz w:val="22"/>
        </w:rPr>
        <w:tab/>
        <w:t>Any member who intends to open, rename, change, or close its futures settlement account shall apply to the Exchange. Following approval by the Exchange, the member shall present the Account Update Notice, issued by the clearing house of the Exchange, to the certified settlement bank to complete the update.</w:t>
      </w:r>
    </w:p>
    <w:p w:rsidR="000A23BB" w:rsidRDefault="000A23BB" w:rsidP="000A23BB">
      <w:pPr>
        <w:spacing w:after="240"/>
        <w:rPr>
          <w:rFonts w:ascii="Times New Roman" w:hAnsi="Times New Roman"/>
          <w:sz w:val="22"/>
        </w:rPr>
      </w:pPr>
      <w:r>
        <w:rPr>
          <w:rFonts w:ascii="Times New Roman" w:hAnsi="Times New Roman"/>
          <w:b/>
          <w:sz w:val="22"/>
        </w:rPr>
        <w:t>Article 27</w:t>
      </w:r>
      <w:r>
        <w:rPr>
          <w:rFonts w:ascii="Times New Roman" w:hAnsi="Times New Roman"/>
          <w:sz w:val="22"/>
        </w:rPr>
        <w:tab/>
        <w:t xml:space="preserve">The transferee in a membership transfer shall open a new futures settlement </w:t>
      </w:r>
      <w:r>
        <w:rPr>
          <w:rFonts w:ascii="Times New Roman" w:hAnsi="Times New Roman"/>
          <w:sz w:val="22"/>
        </w:rPr>
        <w:lastRenderedPageBreak/>
        <w:t>account.</w:t>
      </w:r>
    </w:p>
    <w:p w:rsidR="000A23BB" w:rsidRDefault="000A23BB" w:rsidP="000A23BB">
      <w:pPr>
        <w:spacing w:after="240"/>
        <w:rPr>
          <w:rFonts w:ascii="Times New Roman" w:hAnsi="Times New Roman"/>
          <w:sz w:val="22"/>
        </w:rPr>
      </w:pPr>
      <w:r>
        <w:rPr>
          <w:rFonts w:ascii="Times New Roman" w:hAnsi="Times New Roman"/>
          <w:b/>
          <w:sz w:val="22"/>
        </w:rPr>
        <w:t>Article 29</w:t>
      </w:r>
      <w:r>
        <w:rPr>
          <w:rFonts w:ascii="Times New Roman" w:hAnsi="Times New Roman"/>
          <w:sz w:val="22"/>
        </w:rPr>
        <w:tab/>
        <w:t>The term “clearing deposit” refers to the portion of the funds that a member has deposited into the Exchange’s clearing account for the purpose of futures trading and clearing and which is not yet used as margin for the positions held by the member.</w:t>
      </w:r>
    </w:p>
    <w:p w:rsidR="000A23BB" w:rsidRDefault="000A23BB" w:rsidP="000A23BB">
      <w:pPr>
        <w:spacing w:after="240"/>
        <w:rPr>
          <w:rFonts w:ascii="Times New Roman" w:hAnsi="Times New Roman"/>
          <w:sz w:val="22"/>
        </w:rPr>
      </w:pPr>
      <w:r>
        <w:rPr>
          <w:rFonts w:ascii="Times New Roman" w:hAnsi="Times New Roman"/>
          <w:b/>
          <w:sz w:val="22"/>
        </w:rPr>
        <w:t>Article 31</w:t>
      </w:r>
      <w:r>
        <w:rPr>
          <w:rFonts w:ascii="Times New Roman" w:hAnsi="Times New Roman"/>
          <w:sz w:val="22"/>
        </w:rPr>
        <w:tab/>
        <w:t>The term “trade margin” refers to the portion of the funds that a member has deposited into the Exchange’s clearing account to ensure performance of contracts and which is already used as margin for the positions held by the member. After a trade is entered into, the Exchange will collect from both the buyer and the seller a trade margin proportional to the value of contracts held or at such rate as otherwise prescribed by the Exchange.</w:t>
      </w:r>
    </w:p>
    <w:p w:rsidR="000A23BB" w:rsidRDefault="000A23BB" w:rsidP="000A23BB">
      <w:pPr>
        <w:spacing w:after="240"/>
        <w:rPr>
          <w:rFonts w:ascii="Times New Roman" w:hAnsi="Times New Roman"/>
          <w:sz w:val="22"/>
        </w:rPr>
      </w:pPr>
      <w:r>
        <w:rPr>
          <w:rFonts w:ascii="Times New Roman" w:hAnsi="Times New Roman"/>
          <w:b/>
          <w:sz w:val="22"/>
        </w:rPr>
        <w:t>Article 34</w:t>
      </w:r>
      <w:r>
        <w:rPr>
          <w:rFonts w:ascii="Times New Roman" w:hAnsi="Times New Roman"/>
          <w:sz w:val="22"/>
        </w:rPr>
        <w:tab/>
        <w:t>Any margin funds collected by an FF Member from its customer for a brokerage trade are assets of the customer. Such funds shall be deposited into the member’s futures settlement account and ready for withdrawal at any time in satisfaction of margin requirements or other fee obligations.</w:t>
      </w:r>
    </w:p>
    <w:p w:rsidR="000A23BB" w:rsidRDefault="000A23BB" w:rsidP="000A23BB">
      <w:pPr>
        <w:spacing w:after="240"/>
        <w:rPr>
          <w:rFonts w:ascii="Times New Roman" w:hAnsi="Times New Roman"/>
          <w:sz w:val="22"/>
        </w:rPr>
      </w:pPr>
      <w:r>
        <w:rPr>
          <w:rFonts w:ascii="Times New Roman" w:hAnsi="Times New Roman"/>
          <w:b/>
          <w:sz w:val="22"/>
        </w:rPr>
        <w:t>Article 42</w:t>
      </w:r>
      <w:r>
        <w:rPr>
          <w:rFonts w:ascii="Times New Roman" w:hAnsi="Times New Roman"/>
          <w:sz w:val="22"/>
        </w:rPr>
        <w:tab/>
        <w:t>If after daily clearing the clearing deposit of a member is less than the minimum requirement, such clearing result shall constitute a margin call from the Exchange to the member, and the gap between the two amounts shall be the amount of additional funds required by the margin call.</w:t>
      </w:r>
    </w:p>
    <w:p w:rsidR="000A23BB" w:rsidRDefault="000A23BB" w:rsidP="000A23BB">
      <w:pPr>
        <w:spacing w:after="240"/>
        <w:rPr>
          <w:rFonts w:ascii="Times New Roman" w:hAnsi="Times New Roman"/>
          <w:sz w:val="22"/>
        </w:rPr>
      </w:pPr>
      <w:r>
        <w:rPr>
          <w:rFonts w:ascii="Times New Roman" w:hAnsi="Times New Roman"/>
          <w:sz w:val="22"/>
        </w:rPr>
        <w:t>Following the margin call, the Exchange is entitled to collect the corresponding amount from the member’s futures settlement account via the certified settlement bank. Where a shortfall still exists after the collection, the member shall eliminate it before market open on the following trading day; failing which, the member shall be prohibited from opening new positions if its clearing deposit balance is positive but less than the minimum requirement, and be handled in accordance with the Risk Management Rules of the Shanghai Futures Exchange if its clearing deposit balance is negative.</w:t>
      </w:r>
    </w:p>
    <w:p w:rsidR="000A23BB" w:rsidRDefault="000A23BB" w:rsidP="000A23BB">
      <w:pPr>
        <w:spacing w:after="240"/>
        <w:rPr>
          <w:rFonts w:ascii="Times New Roman" w:hAnsi="Times New Roman"/>
          <w:sz w:val="22"/>
        </w:rPr>
      </w:pPr>
      <w:r>
        <w:rPr>
          <w:rFonts w:ascii="Times New Roman" w:hAnsi="Times New Roman"/>
          <w:b/>
          <w:sz w:val="22"/>
        </w:rPr>
        <w:t>Article 43</w:t>
      </w:r>
      <w:r>
        <w:rPr>
          <w:rFonts w:ascii="Times New Roman" w:hAnsi="Times New Roman"/>
          <w:sz w:val="22"/>
        </w:rPr>
        <w:tab/>
        <w:t xml:space="preserve">A </w:t>
      </w:r>
      <w:proofErr w:type="gramStart"/>
      <w:r>
        <w:rPr>
          <w:rFonts w:ascii="Times New Roman" w:hAnsi="Times New Roman"/>
          <w:sz w:val="22"/>
        </w:rPr>
        <w:t>member</w:t>
      </w:r>
      <w:proofErr w:type="gramEnd"/>
      <w:r>
        <w:rPr>
          <w:rFonts w:ascii="Times New Roman" w:hAnsi="Times New Roman"/>
          <w:sz w:val="22"/>
        </w:rPr>
        <w:t xml:space="preserve"> may transfer funds through any of the following methods to meet a margin call:</w:t>
      </w:r>
    </w:p>
    <w:p w:rsidR="000A23BB" w:rsidRDefault="000A23BB" w:rsidP="000A23BB">
      <w:pPr>
        <w:spacing w:after="240"/>
        <w:rPr>
          <w:rFonts w:ascii="Times New Roman" w:hAnsi="Times New Roman"/>
          <w:sz w:val="22"/>
        </w:rPr>
      </w:pPr>
      <w:r>
        <w:rPr>
          <w:rFonts w:ascii="Times New Roman" w:hAnsi="Times New Roman"/>
          <w:sz w:val="22"/>
        </w:rPr>
        <w:t>(ii) By negotiable instruments. The member may make the deposit with a check, promissory note, or credit transfer note drawing against its futures settlement account. After the certified settlement bank confirms the receipt of the deposit, the Exchange will credit the amount into the member’s clearing deposit balance before the next trading session starts at the latest.</w:t>
      </w:r>
    </w:p>
    <w:p w:rsidR="000A23BB" w:rsidRDefault="000A23BB" w:rsidP="000A23BB">
      <w:pPr>
        <w:spacing w:after="240"/>
        <w:rPr>
          <w:rFonts w:ascii="Times New Roman" w:hAnsi="Times New Roman"/>
          <w:sz w:val="22"/>
        </w:rPr>
      </w:pPr>
      <w:r>
        <w:rPr>
          <w:rFonts w:ascii="Times New Roman" w:hAnsi="Times New Roman"/>
          <w:b/>
          <w:sz w:val="22"/>
        </w:rPr>
        <w:t>Article 50</w:t>
      </w:r>
      <w:r>
        <w:rPr>
          <w:rFonts w:ascii="Times New Roman" w:hAnsi="Times New Roman"/>
          <w:sz w:val="22"/>
        </w:rPr>
        <w:tab/>
        <w:t>After daily clearing, the Exchange will transmit funds transfer data for each member to the corresponding certified settlement banks, who shall timely inform the Exchange of the results of funds transfers.</w:t>
      </w:r>
    </w:p>
    <w:p w:rsidR="000A23BB" w:rsidRDefault="000A23BB" w:rsidP="000A23BB">
      <w:pPr>
        <w:spacing w:after="240"/>
        <w:rPr>
          <w:rFonts w:ascii="Times New Roman" w:hAnsi="Times New Roman"/>
          <w:sz w:val="22"/>
        </w:rPr>
      </w:pPr>
      <w:r>
        <w:rPr>
          <w:rFonts w:ascii="Times New Roman" w:hAnsi="Times New Roman"/>
          <w:b/>
          <w:sz w:val="22"/>
        </w:rPr>
        <w:t>Article 51</w:t>
      </w:r>
      <w:r>
        <w:rPr>
          <w:rFonts w:ascii="Times New Roman" w:hAnsi="Times New Roman"/>
          <w:sz w:val="22"/>
        </w:rPr>
        <w:tab/>
        <w:t>The Exchange shall on the first trading day of each month provide each member with both the SHFE Funds Settlement Form (stamped “SHFE CLEARING”) and the tax invoice for transaction fees for the preceding month to be cross-referenced by the member for account reconciliation.</w:t>
      </w:r>
    </w:p>
    <w:p w:rsidR="000A23BB" w:rsidRDefault="000A23BB" w:rsidP="000A23BB">
      <w:pPr>
        <w:spacing w:after="240"/>
        <w:rPr>
          <w:rFonts w:ascii="Times New Roman" w:hAnsi="Times New Roman"/>
          <w:sz w:val="22"/>
        </w:rPr>
      </w:pPr>
      <w:r>
        <w:rPr>
          <w:rFonts w:ascii="Times New Roman" w:hAnsi="Times New Roman"/>
          <w:b/>
          <w:sz w:val="22"/>
        </w:rPr>
        <w:lastRenderedPageBreak/>
        <w:t>Article 59</w:t>
      </w:r>
      <w:r>
        <w:rPr>
          <w:rFonts w:ascii="Times New Roman" w:hAnsi="Times New Roman"/>
          <w:sz w:val="22"/>
        </w:rPr>
        <w:tab/>
        <w:t>Delivery payment is settled in the sequence of buyer making payment first and seller making delivery second. Delivery payment may be made through in-house transfer or bank transfer. With the in-house transfer option, the member shall submit to the Exchange an In-House Transfer Application by 14:00 on the third delivery day at the latest, and the Exchange will debit the delivery payment from the buying member’s clearing deposit and credit it into the selling member’s clearing deposit. With the bank transfer option, the buying member may transfer the delivery payment into the Exchange’s clearing account in the form of credit transfer notes, promissory notes, checks, or other forms of payment recognized by the Exchange; the selling member will receive the delivery payment in its futures settlement account by funds transfer from the Exchange.</w:t>
      </w:r>
    </w:p>
    <w:p w:rsidR="000A23BB" w:rsidRDefault="000A23BB" w:rsidP="000A23BB">
      <w:pPr>
        <w:spacing w:after="240"/>
        <w:rPr>
          <w:rFonts w:ascii="Times New Roman" w:hAnsi="Times New Roman"/>
          <w:sz w:val="22"/>
        </w:rPr>
      </w:pPr>
      <w:r>
        <w:rPr>
          <w:rFonts w:ascii="Times New Roman" w:hAnsi="Times New Roman"/>
          <w:b/>
          <w:sz w:val="22"/>
        </w:rPr>
        <w:t>Article 60</w:t>
      </w:r>
      <w:r>
        <w:rPr>
          <w:rFonts w:ascii="Times New Roman" w:hAnsi="Times New Roman"/>
          <w:b/>
          <w:sz w:val="22"/>
        </w:rPr>
        <w:tab/>
      </w:r>
      <w:r>
        <w:rPr>
          <w:rFonts w:ascii="Times New Roman" w:hAnsi="Times New Roman"/>
          <w:sz w:val="22"/>
        </w:rPr>
        <w:t xml:space="preserve">The benchmark price for delivery settlement (i.e., final settlement price) is the settlement price of the futures contract concerned on its last trading day, but that for fuel oil futures shall be determined according to Article </w:t>
      </w:r>
      <w:r>
        <w:rPr>
          <w:rFonts w:ascii="Times New Roman" w:hAnsi="Times New Roman"/>
          <w:dstrike/>
          <w:sz w:val="22"/>
        </w:rPr>
        <w:t>22</w:t>
      </w:r>
      <w:r>
        <w:rPr>
          <w:rFonts w:ascii="Times New Roman" w:hAnsi="Times New Roman"/>
          <w:sz w:val="22"/>
          <w:shd w:val="pct10" w:color="auto" w:fill="FFFFFF"/>
        </w:rPr>
        <w:t>24</w:t>
      </w:r>
      <w:r>
        <w:rPr>
          <w:rFonts w:ascii="Times New Roman" w:hAnsi="Times New Roman"/>
          <w:sz w:val="22"/>
        </w:rPr>
        <w:t xml:space="preserve"> of the </w:t>
      </w:r>
      <w:r>
        <w:rPr>
          <w:rFonts w:ascii="Times New Roman" w:hAnsi="Times New Roman"/>
          <w:i/>
          <w:sz w:val="22"/>
        </w:rPr>
        <w:t>Fuel Oil Delivery Rules of the Shanghai Futures Exchange</w:t>
      </w:r>
      <w:r>
        <w:rPr>
          <w:rFonts w:ascii="Times New Roman" w:hAnsi="Times New Roman"/>
          <w:i/>
          <w:dstrike/>
          <w:sz w:val="22"/>
        </w:rPr>
        <w:t xml:space="preserve"> (Trial)</w:t>
      </w:r>
      <w:r>
        <w:rPr>
          <w:rFonts w:ascii="Times New Roman" w:hAnsi="Times New Roman"/>
          <w:sz w:val="22"/>
        </w:rPr>
        <w:t xml:space="preserve">, that for gold futures shall be determined according to Article 24 of the </w:t>
      </w:r>
      <w:r>
        <w:rPr>
          <w:rFonts w:ascii="Times New Roman" w:hAnsi="Times New Roman"/>
          <w:i/>
          <w:sz w:val="22"/>
        </w:rPr>
        <w:t>Gold Futures Delivery Rules of the Shanghai Futures Exchange (Trial)</w:t>
      </w:r>
      <w:r>
        <w:rPr>
          <w:rFonts w:ascii="Times New Roman" w:hAnsi="Times New Roman"/>
          <w:sz w:val="22"/>
        </w:rPr>
        <w:t xml:space="preserve">, that for natural rubber futures shall be determined according to applicable provisions of the </w:t>
      </w:r>
      <w:r>
        <w:rPr>
          <w:rFonts w:ascii="Times New Roman" w:hAnsi="Times New Roman"/>
          <w:i/>
          <w:sz w:val="22"/>
        </w:rPr>
        <w:t>Delivery Rules of the Shanghai Futures Exchange</w:t>
      </w:r>
      <w:r>
        <w:rPr>
          <w:rFonts w:ascii="Times New Roman" w:hAnsi="Times New Roman"/>
          <w:sz w:val="22"/>
        </w:rPr>
        <w:t xml:space="preserve">, and that for bitumen futures shall be determined according to applicable provisions of the </w:t>
      </w:r>
      <w:r>
        <w:rPr>
          <w:rFonts w:ascii="Times New Roman" w:hAnsi="Times New Roman"/>
          <w:i/>
          <w:sz w:val="22"/>
        </w:rPr>
        <w:t>Bitumen Futures Delivery Rules of the Shanghai Futures Exchange</w:t>
      </w:r>
      <w:r>
        <w:rPr>
          <w:rFonts w:ascii="Times New Roman" w:hAnsi="Times New Roman"/>
          <w:sz w:val="22"/>
        </w:rPr>
        <w:t>. Commodity for delivery shall be priced at the final settlement price plus any premium or discount for grade and delivery venue (i.e., benchmark delivery warehouse vs. non-benchmark delivery warehouse).</w:t>
      </w:r>
    </w:p>
    <w:p w:rsidR="000A23BB" w:rsidRDefault="000A23BB" w:rsidP="000A23BB">
      <w:pPr>
        <w:spacing w:after="240"/>
        <w:rPr>
          <w:rFonts w:ascii="Times New Roman" w:hAnsi="Times New Roman"/>
          <w:sz w:val="22"/>
        </w:rPr>
      </w:pPr>
      <w:r>
        <w:rPr>
          <w:rFonts w:ascii="Times New Roman" w:hAnsi="Times New Roman"/>
          <w:b/>
          <w:sz w:val="22"/>
        </w:rPr>
        <w:t>Article 64</w:t>
      </w:r>
      <w:r>
        <w:rPr>
          <w:rFonts w:ascii="Times New Roman" w:hAnsi="Times New Roman"/>
          <w:sz w:val="22"/>
        </w:rPr>
        <w:tab/>
        <w:t>Procedures for delivery settlement of gold futures</w:t>
      </w:r>
      <w:r>
        <w:rPr>
          <w:rFonts w:ascii="Times New Roman" w:hAnsi="Times New Roman"/>
          <w:sz w:val="22"/>
          <w:shd w:val="clear" w:color="auto" w:fill="D8D8D8"/>
        </w:rPr>
        <w:t xml:space="preserve"> and fuel oil futures</w:t>
      </w:r>
      <w:r>
        <w:rPr>
          <w:rFonts w:ascii="Times New Roman" w:hAnsi="Times New Roman"/>
          <w:sz w:val="22"/>
        </w:rPr>
        <w:t>, settlement of the difference between standard warrant weight and actual load-in or load-out weight, and issuance of tax invoices shall be governed by</w:t>
      </w:r>
      <w:r>
        <w:rPr>
          <w:rFonts w:ascii="Times New Roman" w:hAnsi="Times New Roman"/>
          <w:dstrike/>
          <w:sz w:val="22"/>
        </w:rPr>
        <w:t xml:space="preserve"> Chapter 5 of</w:t>
      </w:r>
      <w:r>
        <w:rPr>
          <w:rFonts w:ascii="Times New Roman" w:hAnsi="Times New Roman"/>
          <w:sz w:val="22"/>
        </w:rPr>
        <w:t xml:space="preserve"> the </w:t>
      </w:r>
      <w:r>
        <w:rPr>
          <w:rFonts w:ascii="Times New Roman" w:hAnsi="Times New Roman"/>
          <w:i/>
          <w:sz w:val="22"/>
        </w:rPr>
        <w:t>Gold Futures Delivery Rules of the Shanghai Futures Exchange (Trial)</w:t>
      </w:r>
      <w:r>
        <w:rPr>
          <w:rFonts w:ascii="Times New Roman" w:hAnsi="Times New Roman"/>
          <w:i/>
          <w:sz w:val="22"/>
          <w:shd w:val="clear" w:color="auto" w:fill="D8D8D8"/>
        </w:rPr>
        <w:t xml:space="preserve"> </w:t>
      </w:r>
      <w:r>
        <w:rPr>
          <w:rFonts w:ascii="Times New Roman" w:hAnsi="Times New Roman"/>
          <w:sz w:val="22"/>
          <w:shd w:val="clear" w:color="auto" w:fill="D8D8D8"/>
        </w:rPr>
        <w:t xml:space="preserve">and the </w:t>
      </w:r>
      <w:r>
        <w:rPr>
          <w:rFonts w:ascii="Times New Roman" w:hAnsi="Times New Roman"/>
          <w:i/>
          <w:sz w:val="22"/>
          <w:shd w:val="clear" w:color="auto" w:fill="D8D8D8"/>
        </w:rPr>
        <w:t>Delivery Rules</w:t>
      </w:r>
      <w:r>
        <w:rPr>
          <w:rFonts w:ascii="Times New Roman" w:hAnsi="Times New Roman" w:hint="eastAsia"/>
          <w:i/>
          <w:sz w:val="22"/>
          <w:shd w:val="clear" w:color="auto" w:fill="D8D8D8"/>
        </w:rPr>
        <w:t xml:space="preserve"> for Fuel Oil Futures</w:t>
      </w:r>
      <w:r>
        <w:rPr>
          <w:rFonts w:ascii="Times New Roman" w:hAnsi="Times New Roman"/>
          <w:i/>
          <w:sz w:val="22"/>
          <w:shd w:val="clear" w:color="auto" w:fill="D8D8D8"/>
        </w:rPr>
        <w:t xml:space="preserve"> of the Shanghai Futures Exchange</w:t>
      </w:r>
      <w:r>
        <w:rPr>
          <w:rFonts w:ascii="Times New Roman" w:hAnsi="Times New Roman"/>
          <w:sz w:val="22"/>
        </w:rPr>
        <w:t>.</w:t>
      </w:r>
    </w:p>
    <w:p w:rsidR="000A23BB" w:rsidRDefault="000A23BB" w:rsidP="000A23BB">
      <w:pPr>
        <w:spacing w:after="240"/>
        <w:rPr>
          <w:rFonts w:ascii="Times New Roman" w:hAnsi="Times New Roman"/>
          <w:sz w:val="22"/>
        </w:rPr>
      </w:pPr>
      <w:r>
        <w:rPr>
          <w:rFonts w:ascii="Times New Roman" w:hAnsi="Times New Roman"/>
          <w:b/>
          <w:sz w:val="22"/>
        </w:rPr>
        <w:t>Article 71</w:t>
      </w:r>
      <w:r>
        <w:rPr>
          <w:rFonts w:ascii="Times New Roman" w:hAnsi="Times New Roman"/>
          <w:sz w:val="22"/>
        </w:rPr>
        <w:tab/>
        <w:t>The maximum available margin funds of a member using marketable securities as margin collaterals shall be four (4) times (the “allotting multiplier”) of the member’s cash balance held in the Exchange’s clearing account. The Exchange may adjust the allotting multiplier of a member based on market risks and the member’s credit standing.</w:t>
      </w:r>
    </w:p>
    <w:p w:rsidR="000A23BB" w:rsidRDefault="000A23BB" w:rsidP="000A23BB">
      <w:pPr>
        <w:widowControl/>
        <w:spacing w:line="259" w:lineRule="auto"/>
        <w:rPr>
          <w:rFonts w:ascii="Times New Roman" w:hAnsi="Times New Roman"/>
          <w:szCs w:val="24"/>
        </w:rPr>
      </w:pPr>
      <w:r>
        <w:rPr>
          <w:rFonts w:ascii="Times New Roman" w:hAnsi="Times New Roman"/>
          <w:szCs w:val="24"/>
        </w:rPr>
        <w:br w:type="page"/>
      </w:r>
    </w:p>
    <w:p w:rsidR="000A23BB" w:rsidRDefault="000A23BB" w:rsidP="000A23BB">
      <w:pPr>
        <w:spacing w:after="240"/>
        <w:rPr>
          <w:rFonts w:ascii="Times New Roman" w:hAnsi="Times New Roman"/>
          <w:sz w:val="22"/>
          <w:szCs w:val="24"/>
        </w:rPr>
      </w:pPr>
      <w:r>
        <w:rPr>
          <w:rFonts w:ascii="Times New Roman" w:hAnsi="Times New Roman"/>
          <w:sz w:val="22"/>
          <w:szCs w:val="24"/>
        </w:rPr>
        <w:lastRenderedPageBreak/>
        <w:t>Appendix 1:</w:t>
      </w:r>
    </w:p>
    <w:p w:rsidR="000A23BB" w:rsidRDefault="000A23BB" w:rsidP="000A23BB">
      <w:pPr>
        <w:spacing w:after="240"/>
        <w:jc w:val="center"/>
        <w:rPr>
          <w:rFonts w:ascii="Times New Roman" w:hAnsi="Times New Roman"/>
          <w:b/>
          <w:sz w:val="28"/>
          <w:szCs w:val="24"/>
        </w:rPr>
      </w:pPr>
      <w:r>
        <w:rPr>
          <w:rFonts w:ascii="Times New Roman" w:hAnsi="Times New Roman"/>
          <w:b/>
          <w:sz w:val="28"/>
          <w:szCs w:val="24"/>
        </w:rPr>
        <w:t>Account Update Notice</w:t>
      </w:r>
    </w:p>
    <w:p w:rsidR="000A23BB" w:rsidRDefault="000A23BB" w:rsidP="000A23BB">
      <w:pPr>
        <w:spacing w:after="240"/>
        <w:jc w:val="center"/>
        <w:rPr>
          <w:rFonts w:ascii="Times New Roman" w:hAnsi="Times New Roman"/>
          <w:sz w:val="22"/>
          <w:szCs w:val="24"/>
        </w:rPr>
      </w:pPr>
      <w:r>
        <w:rPr>
          <w:rFonts w:ascii="Times New Roman" w:hAnsi="Times New Roman"/>
          <w:sz w:val="22"/>
          <w:szCs w:val="24"/>
        </w:rPr>
        <w:t>(Sample)</w:t>
      </w:r>
    </w:p>
    <w:p w:rsidR="000A23BB" w:rsidRDefault="000A23BB" w:rsidP="000A23BB">
      <w:pPr>
        <w:tabs>
          <w:tab w:val="left" w:pos="5954"/>
        </w:tabs>
        <w:spacing w:after="240"/>
        <w:rPr>
          <w:rFonts w:ascii="Times New Roman" w:hAnsi="Times New Roman"/>
          <w:sz w:val="22"/>
          <w:szCs w:val="24"/>
        </w:rPr>
      </w:pPr>
      <w:r>
        <w:rPr>
          <w:rFonts w:ascii="Times New Roman" w:hAnsi="Times New Roman"/>
          <w:sz w:val="22"/>
          <w:szCs w:val="24"/>
        </w:rPr>
        <w:tab/>
        <w:t>No.:</w:t>
      </w:r>
    </w:p>
    <w:p w:rsidR="000A23BB" w:rsidRDefault="000A23BB" w:rsidP="000A23BB">
      <w:pPr>
        <w:spacing w:after="240"/>
        <w:rPr>
          <w:rFonts w:ascii="Times New Roman" w:hAnsi="Times New Roman"/>
          <w:sz w:val="22"/>
          <w:szCs w:val="24"/>
        </w:rPr>
      </w:pP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rPr>
        <w:t xml:space="preserve">, </w:t>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rPr>
        <w:t>(bank),</w:t>
      </w:r>
    </w:p>
    <w:p w:rsidR="000A23BB" w:rsidRDefault="000A23BB" w:rsidP="000A23BB">
      <w:pPr>
        <w:spacing w:after="240"/>
        <w:rPr>
          <w:rFonts w:ascii="Times New Roman" w:hAnsi="Times New Roman"/>
          <w:sz w:val="22"/>
        </w:rPr>
      </w:pPr>
      <w:r>
        <w:rPr>
          <w:rFonts w:ascii="Times New Roman" w:hAnsi="Times New Roman"/>
          <w:sz w:val="22"/>
        </w:rPr>
        <w:t xml:space="preserve">This Notice is issued for SHFE member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 xml:space="preserve">(member code: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to support its creation / closure / renaming of its futures settlement account. Please return the Acknowledgement below on the day the procedure is completed.</w:t>
      </w:r>
    </w:p>
    <w:p w:rsidR="000A23BB" w:rsidRDefault="000A23BB" w:rsidP="000A23BB">
      <w:pPr>
        <w:spacing w:after="240"/>
        <w:rPr>
          <w:rFonts w:ascii="Times New Roman" w:hAnsi="Times New Roman"/>
          <w:sz w:val="22"/>
        </w:rPr>
      </w:pPr>
      <w:r>
        <w:rPr>
          <w:rFonts w:ascii="Times New Roman" w:hAnsi="Times New Roman"/>
          <w:sz w:val="22"/>
        </w:rPr>
        <w:t>Thank you for your cooperation.</w:t>
      </w:r>
    </w:p>
    <w:p w:rsidR="000A23BB" w:rsidRDefault="000A23BB" w:rsidP="000A23BB">
      <w:pPr>
        <w:spacing w:after="240"/>
        <w:rPr>
          <w:rFonts w:ascii="Times New Roman" w:hAnsi="Times New Roman"/>
          <w:sz w:val="22"/>
        </w:rPr>
      </w:pPr>
    </w:p>
    <w:p w:rsidR="000A23BB" w:rsidRDefault="000A23BB" w:rsidP="000A23BB">
      <w:pPr>
        <w:spacing w:after="240"/>
        <w:rPr>
          <w:rFonts w:ascii="Times New Roman" w:hAnsi="Times New Roman"/>
          <w:sz w:val="22"/>
        </w:rPr>
      </w:pPr>
      <w:r>
        <w:rPr>
          <w:rFonts w:ascii="Times New Roman" w:hAnsi="Times New Roman"/>
          <w:sz w:val="22"/>
        </w:rPr>
        <w:t>SHFE Clearing Department</w:t>
      </w:r>
    </w:p>
    <w:p w:rsidR="000A23BB" w:rsidRDefault="000A23BB" w:rsidP="000A23BB">
      <w:pPr>
        <w:spacing w:after="240"/>
        <w:rPr>
          <w:rFonts w:ascii="Times New Roman" w:hAnsi="Times New Roman"/>
          <w:sz w:val="22"/>
        </w:rPr>
      </w:pPr>
      <w:r>
        <w:rPr>
          <w:rFonts w:ascii="Times New Roman" w:hAnsi="Times New Roman"/>
          <w:sz w:val="22"/>
        </w:rPr>
        <w:t>Date:</w:t>
      </w:r>
    </w:p>
    <w:p w:rsidR="000A23BB" w:rsidRDefault="000A23BB" w:rsidP="000A23BB">
      <w:pPr>
        <w:spacing w:after="240"/>
        <w:rPr>
          <w:rFonts w:ascii="Times New Roman" w:hAnsi="Times New Roman"/>
          <w:sz w:val="22"/>
        </w:rPr>
      </w:pPr>
    </w:p>
    <w:p w:rsidR="000A23BB" w:rsidRDefault="000A23BB" w:rsidP="000A23BB">
      <w:pPr>
        <w:spacing w:after="240"/>
        <w:rPr>
          <w:rFonts w:ascii="Times New Roman" w:hAnsi="Times New Roman"/>
          <w:sz w:val="22"/>
        </w:rPr>
      </w:pPr>
      <w:r>
        <w:rPr>
          <w:rFonts w:ascii="Times New Roman" w:hAnsi="Times New Roman"/>
          <w:sz w:val="22"/>
        </w:rPr>
        <w:t>P.S.: New name (if applicable) for the member is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rsidR="000A23BB" w:rsidRDefault="000A23BB" w:rsidP="000A23BB">
      <w:pPr>
        <w:spacing w:after="240"/>
        <w:rPr>
          <w:rFonts w:ascii="Times New Roman" w:hAnsi="Times New Roman"/>
          <w:sz w:val="22"/>
        </w:rPr>
      </w:pPr>
    </w:p>
    <w:p w:rsidR="000A23BB" w:rsidRDefault="000A23BB" w:rsidP="000A23BB">
      <w:pPr>
        <w:spacing w:after="240"/>
        <w:rPr>
          <w:rFonts w:ascii="Times New Roman" w:hAnsi="Times New Roman"/>
          <w:sz w:val="22"/>
        </w:rPr>
      </w:pPr>
    </w:p>
    <w:p w:rsidR="000A23BB" w:rsidRDefault="000A23BB" w:rsidP="000A23BB">
      <w:pPr>
        <w:tabs>
          <w:tab w:val="left" w:pos="5954"/>
        </w:tabs>
        <w:spacing w:after="240"/>
        <w:rPr>
          <w:rFonts w:ascii="Times New Roman" w:hAnsi="Times New Roman"/>
          <w:sz w:val="22"/>
          <w:szCs w:val="24"/>
        </w:rPr>
      </w:pPr>
      <w:r>
        <w:rPr>
          <w:rFonts w:ascii="Times New Roman" w:hAnsi="Times New Roman"/>
          <w:sz w:val="22"/>
          <w:szCs w:val="24"/>
        </w:rPr>
        <w:tab/>
        <w:t>No.:</w:t>
      </w:r>
    </w:p>
    <w:p w:rsidR="000A23BB" w:rsidRDefault="000A23BB" w:rsidP="000A23BB">
      <w:pPr>
        <w:spacing w:after="240"/>
        <w:jc w:val="center"/>
        <w:rPr>
          <w:rFonts w:ascii="Times New Roman" w:hAnsi="Times New Roman"/>
          <w:b/>
          <w:sz w:val="28"/>
        </w:rPr>
      </w:pPr>
      <w:r>
        <w:rPr>
          <w:rFonts w:ascii="Times New Roman" w:hAnsi="Times New Roman"/>
          <w:b/>
          <w:sz w:val="28"/>
        </w:rPr>
        <w:t>Acknowledgement</w:t>
      </w:r>
    </w:p>
    <w:tbl>
      <w:tblPr>
        <w:tblStyle w:val="a"/>
        <w:tblW w:w="0" w:type="auto"/>
        <w:tblLayout w:type="fixed"/>
        <w:tblLook w:val="0000"/>
      </w:tblPr>
      <w:tblGrid>
        <w:gridCol w:w="1549"/>
        <w:gridCol w:w="998"/>
        <w:gridCol w:w="1600"/>
        <w:gridCol w:w="1643"/>
        <w:gridCol w:w="2506"/>
      </w:tblGrid>
      <w:tr w:rsidR="000A23BB" w:rsidTr="00DB7770">
        <w:tc>
          <w:tcPr>
            <w:tcW w:w="1549" w:type="dxa"/>
          </w:tcPr>
          <w:p w:rsidR="000A23BB" w:rsidRDefault="000A23BB" w:rsidP="00DB7770">
            <w:pPr>
              <w:spacing w:before="60"/>
              <w:ind w:firstLine="400"/>
              <w:rPr>
                <w:rFonts w:ascii="Times New Roman" w:hAnsi="Times New Roman"/>
                <w:sz w:val="20"/>
              </w:rPr>
            </w:pPr>
            <w:r>
              <w:rPr>
                <w:rFonts w:ascii="Times New Roman" w:hAnsi="Times New Roman"/>
                <w:sz w:val="20"/>
              </w:rPr>
              <w:t>Service</w:t>
            </w:r>
          </w:p>
        </w:tc>
        <w:tc>
          <w:tcPr>
            <w:tcW w:w="2598" w:type="dxa"/>
            <w:gridSpan w:val="2"/>
          </w:tcPr>
          <w:p w:rsidR="000A23BB" w:rsidRDefault="000A23BB" w:rsidP="00DB7770">
            <w:pPr>
              <w:spacing w:before="60"/>
              <w:ind w:firstLine="400"/>
              <w:jc w:val="center"/>
              <w:rPr>
                <w:rFonts w:ascii="Times New Roman" w:hAnsi="Times New Roman"/>
                <w:sz w:val="20"/>
              </w:rPr>
            </w:pPr>
            <w:r>
              <w:rPr>
                <w:rFonts w:ascii="Times New Roman" w:hAnsi="Times New Roman"/>
                <w:sz w:val="20"/>
              </w:rPr>
              <w:t>Open / Close / Rename</w:t>
            </w:r>
          </w:p>
        </w:tc>
        <w:tc>
          <w:tcPr>
            <w:tcW w:w="1643" w:type="dxa"/>
          </w:tcPr>
          <w:p w:rsidR="000A23BB" w:rsidRDefault="000A23BB" w:rsidP="00DB7770">
            <w:pPr>
              <w:spacing w:before="60"/>
              <w:ind w:firstLine="400"/>
              <w:rPr>
                <w:rFonts w:ascii="Times New Roman" w:hAnsi="Times New Roman"/>
                <w:sz w:val="20"/>
              </w:rPr>
            </w:pPr>
            <w:r>
              <w:rPr>
                <w:rFonts w:ascii="Times New Roman" w:hAnsi="Times New Roman"/>
                <w:sz w:val="20"/>
              </w:rPr>
              <w:t>Account name</w:t>
            </w:r>
          </w:p>
        </w:tc>
        <w:tc>
          <w:tcPr>
            <w:tcW w:w="2506" w:type="dxa"/>
          </w:tcPr>
          <w:p w:rsidR="000A23BB" w:rsidRDefault="000A23BB" w:rsidP="00DB7770">
            <w:pPr>
              <w:spacing w:before="60"/>
              <w:ind w:firstLine="400"/>
              <w:rPr>
                <w:rFonts w:ascii="Times New Roman" w:hAnsi="Times New Roman"/>
                <w:sz w:val="20"/>
              </w:rPr>
            </w:pPr>
          </w:p>
        </w:tc>
      </w:tr>
      <w:tr w:rsidR="000A23BB" w:rsidTr="00DB7770">
        <w:tc>
          <w:tcPr>
            <w:tcW w:w="1549" w:type="dxa"/>
          </w:tcPr>
          <w:p w:rsidR="000A23BB" w:rsidRDefault="000A23BB" w:rsidP="00DB7770">
            <w:pPr>
              <w:spacing w:before="60"/>
              <w:ind w:firstLine="400"/>
              <w:rPr>
                <w:rFonts w:ascii="Times New Roman" w:hAnsi="Times New Roman"/>
                <w:sz w:val="20"/>
              </w:rPr>
            </w:pPr>
            <w:r>
              <w:rPr>
                <w:rFonts w:ascii="Times New Roman" w:hAnsi="Times New Roman"/>
                <w:sz w:val="20"/>
              </w:rPr>
              <w:t>Member code</w:t>
            </w:r>
          </w:p>
        </w:tc>
        <w:tc>
          <w:tcPr>
            <w:tcW w:w="2598" w:type="dxa"/>
            <w:gridSpan w:val="2"/>
          </w:tcPr>
          <w:p w:rsidR="000A23BB" w:rsidRDefault="000A23BB" w:rsidP="00DB7770">
            <w:pPr>
              <w:spacing w:before="60"/>
              <w:ind w:firstLine="400"/>
              <w:rPr>
                <w:rFonts w:ascii="Times New Roman" w:hAnsi="Times New Roman"/>
                <w:sz w:val="20"/>
              </w:rPr>
            </w:pPr>
          </w:p>
        </w:tc>
        <w:tc>
          <w:tcPr>
            <w:tcW w:w="1643" w:type="dxa"/>
          </w:tcPr>
          <w:p w:rsidR="000A23BB" w:rsidRDefault="000A23BB" w:rsidP="00DB7770">
            <w:pPr>
              <w:spacing w:before="60"/>
              <w:ind w:firstLine="400"/>
              <w:rPr>
                <w:rFonts w:ascii="Times New Roman" w:hAnsi="Times New Roman"/>
                <w:sz w:val="20"/>
              </w:rPr>
            </w:pPr>
            <w:r>
              <w:rPr>
                <w:rFonts w:ascii="Times New Roman" w:hAnsi="Times New Roman"/>
                <w:sz w:val="20"/>
              </w:rPr>
              <w:t>Account No.</w:t>
            </w:r>
          </w:p>
        </w:tc>
        <w:tc>
          <w:tcPr>
            <w:tcW w:w="2506" w:type="dxa"/>
          </w:tcPr>
          <w:p w:rsidR="000A23BB" w:rsidRDefault="000A23BB" w:rsidP="00DB7770">
            <w:pPr>
              <w:spacing w:before="60"/>
              <w:ind w:firstLine="400"/>
              <w:rPr>
                <w:rFonts w:ascii="Times New Roman" w:hAnsi="Times New Roman"/>
                <w:sz w:val="20"/>
              </w:rPr>
            </w:pPr>
          </w:p>
        </w:tc>
      </w:tr>
      <w:tr w:rsidR="000A23BB" w:rsidTr="00DB7770">
        <w:tc>
          <w:tcPr>
            <w:tcW w:w="1549" w:type="dxa"/>
          </w:tcPr>
          <w:p w:rsidR="000A23BB" w:rsidRDefault="000A23BB" w:rsidP="00DB7770">
            <w:pPr>
              <w:spacing w:before="60"/>
              <w:ind w:firstLine="400"/>
              <w:rPr>
                <w:rFonts w:ascii="Times New Roman" w:hAnsi="Times New Roman"/>
                <w:sz w:val="20"/>
              </w:rPr>
            </w:pPr>
            <w:r>
              <w:rPr>
                <w:rFonts w:ascii="Times New Roman" w:hAnsi="Times New Roman"/>
                <w:sz w:val="20"/>
              </w:rPr>
              <w:t>Bank</w:t>
            </w:r>
          </w:p>
        </w:tc>
        <w:tc>
          <w:tcPr>
            <w:tcW w:w="2598" w:type="dxa"/>
            <w:gridSpan w:val="2"/>
          </w:tcPr>
          <w:p w:rsidR="000A23BB" w:rsidRDefault="000A23BB" w:rsidP="00DB7770">
            <w:pPr>
              <w:spacing w:before="60"/>
              <w:ind w:firstLine="400"/>
              <w:rPr>
                <w:rFonts w:ascii="Times New Roman" w:hAnsi="Times New Roman"/>
                <w:sz w:val="20"/>
              </w:rPr>
            </w:pPr>
          </w:p>
        </w:tc>
        <w:tc>
          <w:tcPr>
            <w:tcW w:w="1643" w:type="dxa"/>
          </w:tcPr>
          <w:p w:rsidR="000A23BB" w:rsidRDefault="000A23BB" w:rsidP="00DB7770">
            <w:pPr>
              <w:spacing w:before="60"/>
              <w:ind w:firstLine="400"/>
              <w:rPr>
                <w:rFonts w:ascii="Times New Roman" w:hAnsi="Times New Roman"/>
                <w:sz w:val="20"/>
              </w:rPr>
            </w:pPr>
            <w:r>
              <w:rPr>
                <w:rFonts w:ascii="Times New Roman" w:hAnsi="Times New Roman"/>
                <w:sz w:val="20"/>
              </w:rPr>
              <w:t>Orig. acc. name</w:t>
            </w:r>
          </w:p>
        </w:tc>
        <w:tc>
          <w:tcPr>
            <w:tcW w:w="2506" w:type="dxa"/>
          </w:tcPr>
          <w:p w:rsidR="000A23BB" w:rsidRDefault="000A23BB" w:rsidP="00DB7770">
            <w:pPr>
              <w:spacing w:before="60"/>
              <w:ind w:firstLine="400"/>
              <w:rPr>
                <w:rFonts w:ascii="Times New Roman" w:hAnsi="Times New Roman"/>
                <w:sz w:val="20"/>
              </w:rPr>
            </w:pPr>
          </w:p>
        </w:tc>
      </w:tr>
      <w:tr w:rsidR="000A23BB" w:rsidTr="00DB7770">
        <w:tc>
          <w:tcPr>
            <w:tcW w:w="2547" w:type="dxa"/>
            <w:gridSpan w:val="2"/>
          </w:tcPr>
          <w:p w:rsidR="000A23BB" w:rsidRDefault="000A23BB" w:rsidP="00DB7770">
            <w:pPr>
              <w:spacing w:before="60"/>
              <w:ind w:firstLine="400"/>
              <w:rPr>
                <w:rFonts w:ascii="Times New Roman" w:hAnsi="Times New Roman"/>
                <w:sz w:val="20"/>
              </w:rPr>
            </w:pPr>
            <w:r>
              <w:rPr>
                <w:rFonts w:ascii="Times New Roman" w:hAnsi="Times New Roman"/>
                <w:sz w:val="20"/>
              </w:rPr>
              <w:t>Acc. opening / closure date</w:t>
            </w:r>
          </w:p>
        </w:tc>
        <w:tc>
          <w:tcPr>
            <w:tcW w:w="3243" w:type="dxa"/>
            <w:gridSpan w:val="2"/>
          </w:tcPr>
          <w:p w:rsidR="000A23BB" w:rsidRDefault="000A23BB" w:rsidP="00DB7770">
            <w:pPr>
              <w:spacing w:before="60"/>
              <w:ind w:firstLine="400"/>
              <w:rPr>
                <w:rFonts w:ascii="Times New Roman" w:hAnsi="Times New Roman"/>
                <w:sz w:val="20"/>
              </w:rPr>
            </w:pPr>
          </w:p>
        </w:tc>
        <w:tc>
          <w:tcPr>
            <w:tcW w:w="2506" w:type="dxa"/>
          </w:tcPr>
          <w:p w:rsidR="000A23BB" w:rsidRDefault="000A23BB" w:rsidP="00DB7770">
            <w:pPr>
              <w:spacing w:before="60"/>
              <w:ind w:firstLine="400"/>
              <w:rPr>
                <w:rFonts w:ascii="Times New Roman" w:hAnsi="Times New Roman"/>
                <w:sz w:val="20"/>
              </w:rPr>
            </w:pPr>
          </w:p>
        </w:tc>
      </w:tr>
      <w:tr w:rsidR="000A23BB" w:rsidTr="00DB7770">
        <w:tc>
          <w:tcPr>
            <w:tcW w:w="2547" w:type="dxa"/>
            <w:gridSpan w:val="2"/>
          </w:tcPr>
          <w:p w:rsidR="000A23BB" w:rsidRDefault="000A23BB" w:rsidP="00DB7770">
            <w:pPr>
              <w:spacing w:before="60"/>
              <w:ind w:firstLine="400"/>
              <w:rPr>
                <w:rFonts w:ascii="Times New Roman" w:hAnsi="Times New Roman"/>
                <w:sz w:val="20"/>
              </w:rPr>
            </w:pPr>
            <w:r>
              <w:rPr>
                <w:rFonts w:ascii="Times New Roman" w:hAnsi="Times New Roman"/>
                <w:sz w:val="20"/>
              </w:rPr>
              <w:t>Processed by</w:t>
            </w:r>
          </w:p>
        </w:tc>
        <w:tc>
          <w:tcPr>
            <w:tcW w:w="3243" w:type="dxa"/>
            <w:gridSpan w:val="2"/>
          </w:tcPr>
          <w:p w:rsidR="000A23BB" w:rsidRDefault="000A23BB" w:rsidP="00DB7770">
            <w:pPr>
              <w:spacing w:before="60"/>
              <w:ind w:firstLine="400"/>
              <w:rPr>
                <w:rFonts w:ascii="Times New Roman" w:hAnsi="Times New Roman"/>
                <w:sz w:val="20"/>
              </w:rPr>
            </w:pPr>
          </w:p>
        </w:tc>
        <w:tc>
          <w:tcPr>
            <w:tcW w:w="2506" w:type="dxa"/>
          </w:tcPr>
          <w:p w:rsidR="000A23BB" w:rsidRDefault="000A23BB" w:rsidP="00DB7770">
            <w:pPr>
              <w:spacing w:before="60"/>
              <w:ind w:firstLine="400"/>
              <w:rPr>
                <w:rFonts w:ascii="Times New Roman" w:hAnsi="Times New Roman"/>
                <w:sz w:val="20"/>
              </w:rPr>
            </w:pPr>
          </w:p>
        </w:tc>
      </w:tr>
    </w:tbl>
    <w:tbl>
      <w:tblPr>
        <w:tblW w:w="0" w:type="auto"/>
        <w:tblLayout w:type="fixed"/>
        <w:tblLook w:val="0000"/>
      </w:tblPr>
      <w:tblGrid>
        <w:gridCol w:w="5790"/>
        <w:gridCol w:w="2506"/>
      </w:tblGrid>
      <w:tr w:rsidR="000A23BB" w:rsidTr="00DB7770">
        <w:tc>
          <w:tcPr>
            <w:tcW w:w="5790" w:type="dxa"/>
          </w:tcPr>
          <w:p w:rsidR="000A23BB" w:rsidRDefault="000A23BB" w:rsidP="00DB7770">
            <w:pPr>
              <w:spacing w:before="60"/>
              <w:ind w:firstLine="400"/>
              <w:rPr>
                <w:rFonts w:ascii="Times New Roman" w:hAnsi="Times New Roman"/>
                <w:sz w:val="20"/>
              </w:rPr>
            </w:pPr>
            <w:r>
              <w:rPr>
                <w:rFonts w:ascii="Times New Roman" w:hAnsi="Times New Roman"/>
                <w:sz w:val="20"/>
              </w:rPr>
              <w:t>Instructions:</w:t>
            </w:r>
          </w:p>
          <w:p w:rsidR="000A23BB" w:rsidRDefault="000A23BB" w:rsidP="00DB7770">
            <w:pPr>
              <w:spacing w:before="60"/>
              <w:ind w:firstLine="400"/>
              <w:rPr>
                <w:rFonts w:ascii="Times New Roman" w:hAnsi="Times New Roman"/>
                <w:sz w:val="20"/>
              </w:rPr>
            </w:pPr>
            <w:r>
              <w:rPr>
                <w:rFonts w:ascii="Times New Roman" w:hAnsi="Times New Roman"/>
                <w:sz w:val="20"/>
              </w:rPr>
              <w:t>1. Check the appropriate option in the “Service” box</w:t>
            </w:r>
          </w:p>
          <w:p w:rsidR="000A23BB" w:rsidRDefault="000A23BB" w:rsidP="00DB7770">
            <w:pPr>
              <w:spacing w:before="60"/>
              <w:ind w:firstLine="400"/>
              <w:rPr>
                <w:rFonts w:ascii="Times New Roman" w:hAnsi="Times New Roman"/>
                <w:sz w:val="20"/>
              </w:rPr>
            </w:pPr>
            <w:r>
              <w:rPr>
                <w:rFonts w:ascii="Times New Roman" w:hAnsi="Times New Roman"/>
                <w:sz w:val="20"/>
              </w:rPr>
              <w:lastRenderedPageBreak/>
              <w:t>2. The original account name should be provided if there has been a name change</w:t>
            </w:r>
          </w:p>
          <w:p w:rsidR="000A23BB" w:rsidRDefault="000A23BB" w:rsidP="00DB7770">
            <w:pPr>
              <w:spacing w:before="60"/>
              <w:ind w:firstLine="400"/>
              <w:rPr>
                <w:rFonts w:ascii="Times New Roman" w:hAnsi="Times New Roman"/>
                <w:sz w:val="20"/>
              </w:rPr>
            </w:pPr>
            <w:r>
              <w:rPr>
                <w:rFonts w:ascii="Times New Roman" w:hAnsi="Times New Roman"/>
                <w:sz w:val="20"/>
              </w:rPr>
              <w:t>3. Fill in the account opening date agreed with the member in the case of account opening or renaming, and the account closure date in the case of account closure.</w:t>
            </w:r>
          </w:p>
        </w:tc>
        <w:tc>
          <w:tcPr>
            <w:tcW w:w="2506" w:type="dxa"/>
          </w:tcPr>
          <w:p w:rsidR="000A23BB" w:rsidRDefault="000A23BB" w:rsidP="00DB7770">
            <w:pPr>
              <w:spacing w:before="60"/>
              <w:ind w:firstLine="400"/>
              <w:jc w:val="center"/>
              <w:rPr>
                <w:rFonts w:ascii="Times New Roman" w:hAnsi="Times New Roman"/>
                <w:sz w:val="20"/>
              </w:rPr>
            </w:pPr>
            <w:r>
              <w:rPr>
                <w:rFonts w:ascii="Times New Roman" w:hAnsi="Times New Roman"/>
                <w:sz w:val="20"/>
              </w:rPr>
              <w:lastRenderedPageBreak/>
              <w:t>Business seal of certified settlement bank</w:t>
            </w:r>
          </w:p>
          <w:p w:rsidR="000A23BB" w:rsidRDefault="000A23BB" w:rsidP="00DB7770">
            <w:pPr>
              <w:spacing w:before="60"/>
              <w:ind w:firstLine="400"/>
              <w:rPr>
                <w:rFonts w:ascii="Times New Roman" w:hAnsi="Times New Roman"/>
                <w:sz w:val="20"/>
              </w:rPr>
            </w:pPr>
          </w:p>
          <w:p w:rsidR="000A23BB" w:rsidRDefault="000A23BB" w:rsidP="00DB7770">
            <w:pPr>
              <w:spacing w:before="60"/>
              <w:ind w:firstLine="400"/>
              <w:rPr>
                <w:rFonts w:ascii="Times New Roman" w:hAnsi="Times New Roman"/>
                <w:sz w:val="20"/>
              </w:rPr>
            </w:pPr>
          </w:p>
          <w:p w:rsidR="000A23BB" w:rsidRDefault="000A23BB" w:rsidP="00DB7770">
            <w:pPr>
              <w:spacing w:before="60"/>
              <w:ind w:firstLine="400"/>
              <w:rPr>
                <w:rFonts w:ascii="Times New Roman" w:hAnsi="Times New Roman"/>
                <w:sz w:val="20"/>
              </w:rPr>
            </w:pPr>
          </w:p>
          <w:p w:rsidR="000A23BB" w:rsidRDefault="000A23BB" w:rsidP="00DB7770">
            <w:pPr>
              <w:spacing w:before="60"/>
              <w:ind w:firstLine="400"/>
              <w:rPr>
                <w:rFonts w:ascii="Times New Roman" w:hAnsi="Times New Roman"/>
                <w:sz w:val="20"/>
              </w:rPr>
            </w:pPr>
            <w:r>
              <w:rPr>
                <w:rFonts w:ascii="Times New Roman" w:hAnsi="Times New Roman"/>
                <w:sz w:val="20"/>
              </w:rPr>
              <w:t>Date:</w:t>
            </w:r>
          </w:p>
        </w:tc>
      </w:tr>
    </w:tbl>
    <w:p w:rsidR="000A23BB" w:rsidRDefault="000A23BB" w:rsidP="000A23BB">
      <w:pPr>
        <w:spacing w:after="240"/>
        <w:rPr>
          <w:rFonts w:ascii="Times New Roman" w:hAnsi="Times New Roman"/>
          <w:sz w:val="22"/>
        </w:rPr>
      </w:pPr>
    </w:p>
    <w:p w:rsidR="008D0BBD" w:rsidRPr="000A23BB" w:rsidRDefault="000A23BB" w:rsidP="000A23BB"/>
    <w:sectPr w:rsidR="008D0BBD" w:rsidRPr="000A23BB" w:rsidSect="006A668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66" w:rsidRDefault="000A23BB">
    <w:pPr>
      <w:pStyle w:val="a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instrText>\* MERGEFORMAT</w:instrText>
    </w:r>
    <w:r>
      <w:rPr>
        <w:rFonts w:ascii="Times New Roman" w:hAnsi="Times New Roman"/>
        <w:sz w:val="20"/>
        <w:szCs w:val="20"/>
      </w:rPr>
      <w:fldChar w:fldCharType="separate"/>
    </w:r>
    <w:r w:rsidRPr="000A23BB">
      <w:rPr>
        <w:rFonts w:ascii="Times New Roman" w:hAnsi="Times New Roman"/>
        <w:noProof/>
        <w:sz w:val="20"/>
        <w:szCs w:val="20"/>
        <w:lang w:val="zh-CN"/>
      </w:rPr>
      <w:t>1</w:t>
    </w:r>
    <w:r>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A6082"/>
    <w:multiLevelType w:val="multilevel"/>
    <w:tmpl w:val="7ACA6082"/>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21C"/>
    <w:rsid w:val="000A23BB"/>
    <w:rsid w:val="00590988"/>
    <w:rsid w:val="00685447"/>
    <w:rsid w:val="006A6684"/>
    <w:rsid w:val="00853833"/>
    <w:rsid w:val="00D6021C"/>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1C"/>
    <w:pPr>
      <w:widowControl w:val="0"/>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D6021C"/>
    <w:rPr>
      <w:sz w:val="18"/>
      <w:szCs w:val="18"/>
    </w:rPr>
  </w:style>
  <w:style w:type="paragraph" w:styleId="a3">
    <w:name w:val="footer"/>
    <w:basedOn w:val="a"/>
    <w:link w:val="Char"/>
    <w:uiPriority w:val="99"/>
    <w:unhideWhenUsed/>
    <w:qFormat/>
    <w:rsid w:val="00D60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D6021C"/>
    <w:rPr>
      <w:rFonts w:ascii="Calibri" w:eastAsia="宋体" w:hAnsi="Calibri" w:cs="Times New Roman"/>
      <w:sz w:val="18"/>
      <w:szCs w:val="18"/>
    </w:rPr>
  </w:style>
  <w:style w:type="paragraph" w:styleId="a4">
    <w:name w:val="List Paragraph"/>
    <w:basedOn w:val="a"/>
    <w:uiPriority w:val="34"/>
    <w:qFormat/>
    <w:rsid w:val="00D6021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9041</Characters>
  <Application>Microsoft Office Word</Application>
  <DocSecurity>0</DocSecurity>
  <Lines>75</Lines>
  <Paragraphs>21</Paragraphs>
  <ScaleCrop>false</ScaleCrop>
  <Company>SHFE</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2018-06-26T09:21:00Z</dcterms:created>
  <dcterms:modified xsi:type="dcterms:W3CDTF">2018-06-26T09:21:00Z</dcterms:modified>
</cp:coreProperties>
</file>