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BE" w:rsidRDefault="005531BE" w:rsidP="005531BE">
      <w:pPr>
        <w:spacing w:afterLines="100"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Appendix </w:t>
      </w:r>
      <w:r>
        <w:rPr>
          <w:rFonts w:ascii="Times New Roman" w:hAnsi="Times New Roman" w:hint="eastAsia"/>
          <w:sz w:val="22"/>
        </w:rPr>
        <w:t>4</w:t>
      </w:r>
    </w:p>
    <w:p w:rsidR="005531BE" w:rsidRDefault="005531BE" w:rsidP="005531B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Designated Delivery Storage Facilities </w:t>
      </w:r>
      <w:r>
        <w:rPr>
          <w:rFonts w:ascii="Times New Roman" w:hAnsi="Times New Roman"/>
          <w:b/>
          <w:sz w:val="28"/>
          <w:szCs w:val="28"/>
        </w:rPr>
        <w:t>Rules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5531BE" w:rsidRDefault="005531BE" w:rsidP="005531B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of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the Shanghai Futures Exchang</w:t>
      </w:r>
      <w:r>
        <w:rPr>
          <w:rFonts w:ascii="Times New Roman" w:hAnsi="Times New Roman" w:hint="eastAsia"/>
          <w:b/>
          <w:sz w:val="28"/>
          <w:szCs w:val="28"/>
        </w:rPr>
        <w:t>e</w:t>
      </w:r>
    </w:p>
    <w:p w:rsidR="005531BE" w:rsidRDefault="005531BE" w:rsidP="005531BE">
      <w:pPr>
        <w:spacing w:afterLines="1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(</w:t>
      </w:r>
      <w:r>
        <w:rPr>
          <w:rFonts w:ascii="Times New Roman" w:hAnsi="Times New Roman"/>
          <w:b/>
          <w:sz w:val="22"/>
        </w:rPr>
        <w:t>Amended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7</w:t>
      </w:r>
      <w:r>
        <w:rPr>
          <w:rFonts w:ascii="Times New Roman" w:hAnsi="Times New Roman"/>
          <w:sz w:val="22"/>
        </w:rPr>
        <w:tab/>
        <w:t xml:space="preserve">After securing the Exchange’s certification, a </w:t>
      </w:r>
      <w:bookmarkStart w:id="0" w:name="OLE_LINK15"/>
      <w:bookmarkStart w:id="1" w:name="OLE_LINK14"/>
      <w:r>
        <w:rPr>
          <w:rFonts w:ascii="Times New Roman" w:hAnsi="Times New Roman" w:hint="eastAsia"/>
          <w:sz w:val="22"/>
        </w:rPr>
        <w:t>d</w:t>
      </w:r>
      <w:r>
        <w:rPr>
          <w:rFonts w:ascii="Times New Roman" w:hAnsi="Times New Roman"/>
          <w:sz w:val="22"/>
        </w:rPr>
        <w:t xml:space="preserve">esignated </w:t>
      </w:r>
      <w:r>
        <w:rPr>
          <w:rFonts w:ascii="Times New Roman" w:hAnsi="Times New Roman" w:hint="eastAsia"/>
          <w:sz w:val="22"/>
        </w:rPr>
        <w:t>d</w:t>
      </w:r>
      <w:r>
        <w:rPr>
          <w:rFonts w:ascii="Times New Roman" w:hAnsi="Times New Roman"/>
          <w:sz w:val="22"/>
        </w:rPr>
        <w:t xml:space="preserve">elivery </w:t>
      </w:r>
      <w:r>
        <w:rPr>
          <w:rFonts w:ascii="Times New Roman" w:hAnsi="Times New Roman" w:hint="eastAsia"/>
          <w:sz w:val="22"/>
        </w:rPr>
        <w:t>s</w:t>
      </w:r>
      <w:r>
        <w:rPr>
          <w:rFonts w:ascii="Times New Roman" w:hAnsi="Times New Roman"/>
          <w:sz w:val="22"/>
        </w:rPr>
        <w:t xml:space="preserve">torage </w:t>
      </w:r>
      <w:r>
        <w:rPr>
          <w:rFonts w:ascii="Times New Roman" w:hAnsi="Times New Roman" w:hint="eastAsia"/>
          <w:sz w:val="22"/>
        </w:rPr>
        <w:t>f</w:t>
      </w:r>
      <w:r>
        <w:rPr>
          <w:rFonts w:ascii="Times New Roman" w:hAnsi="Times New Roman"/>
          <w:sz w:val="22"/>
        </w:rPr>
        <w:t>acilit</w:t>
      </w:r>
      <w:r>
        <w:rPr>
          <w:rFonts w:ascii="Times New Roman" w:hAnsi="Times New Roman" w:hint="eastAsia"/>
          <w:sz w:val="22"/>
        </w:rPr>
        <w:t>y</w:t>
      </w:r>
      <w:bookmarkEnd w:id="0"/>
      <w:bookmarkEnd w:id="1"/>
      <w:r>
        <w:rPr>
          <w:rFonts w:ascii="Times New Roman" w:hAnsi="Times New Roman"/>
          <w:sz w:val="22"/>
        </w:rPr>
        <w:t xml:space="preserve"> shall:</w:t>
      </w:r>
    </w:p>
    <w:p w:rsidR="005531BE" w:rsidRDefault="005531BE" w:rsidP="005531BE">
      <w:pPr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(iii) </w:t>
      </w:r>
      <w:proofErr w:type="gramStart"/>
      <w:r>
        <w:rPr>
          <w:rFonts w:ascii="Times New Roman" w:hAnsi="Times New Roman"/>
          <w:sz w:val="22"/>
        </w:rPr>
        <w:t>pay</w:t>
      </w:r>
      <w:proofErr w:type="gramEnd"/>
      <w:r>
        <w:rPr>
          <w:rFonts w:ascii="Times New Roman" w:hAnsi="Times New Roman"/>
          <w:sz w:val="22"/>
        </w:rPr>
        <w:t xml:space="preserve"> the required </w:t>
      </w:r>
      <w:r>
        <w:rPr>
          <w:rFonts w:ascii="Times New Roman" w:hAnsi="Times New Roman"/>
          <w:dstrike/>
          <w:sz w:val="22"/>
        </w:rPr>
        <w:t xml:space="preserve">risk collateral </w:t>
      </w:r>
      <w:r>
        <w:rPr>
          <w:rFonts w:ascii="Times New Roman" w:hAnsi="Times New Roman"/>
          <w:sz w:val="22"/>
          <w:shd w:val="clear" w:color="auto" w:fill="D8D8D8"/>
        </w:rPr>
        <w:t>performance deposit</w:t>
      </w:r>
      <w:r>
        <w:rPr>
          <w:rFonts w:ascii="Times New Roman" w:hAnsi="Times New Roman"/>
          <w:sz w:val="22"/>
        </w:rPr>
        <w:t>;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9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 xml:space="preserve">Any </w:t>
      </w:r>
      <w:r>
        <w:rPr>
          <w:rFonts w:ascii="Times New Roman" w:hAnsi="Times New Roman"/>
          <w:kern w:val="0"/>
          <w:sz w:val="22"/>
        </w:rPr>
        <w:t>designated delivery storage facility</w:t>
      </w:r>
      <w:r>
        <w:rPr>
          <w:rFonts w:ascii="Times New Roman" w:hAnsi="Times New Roman"/>
          <w:sz w:val="22"/>
        </w:rPr>
        <w:t xml:space="preserve"> whose certification is being forfeited or revoked shall:</w:t>
      </w:r>
    </w:p>
    <w:p w:rsidR="005531BE" w:rsidRDefault="005531BE" w:rsidP="005531BE">
      <w:pPr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(iii) </w:t>
      </w:r>
      <w:proofErr w:type="gramStart"/>
      <w:r>
        <w:rPr>
          <w:rFonts w:ascii="Times New Roman" w:hAnsi="Times New Roman"/>
          <w:sz w:val="22"/>
        </w:rPr>
        <w:t>claim</w:t>
      </w:r>
      <w:proofErr w:type="gramEnd"/>
      <w:r>
        <w:rPr>
          <w:rFonts w:ascii="Times New Roman" w:hAnsi="Times New Roman"/>
          <w:sz w:val="22"/>
        </w:rPr>
        <w:t xml:space="preserve"> the refund of its </w:t>
      </w:r>
      <w:r>
        <w:rPr>
          <w:rFonts w:ascii="Times New Roman" w:hAnsi="Times New Roman"/>
          <w:dstrike/>
          <w:sz w:val="22"/>
        </w:rPr>
        <w:t xml:space="preserve">risk collateral </w:t>
      </w:r>
      <w:r>
        <w:rPr>
          <w:rFonts w:ascii="Times New Roman" w:hAnsi="Times New Roman"/>
          <w:sz w:val="22"/>
          <w:shd w:val="clear" w:color="auto" w:fill="D8D8D8"/>
        </w:rPr>
        <w:t xml:space="preserve">performance deposit </w:t>
      </w:r>
      <w:r>
        <w:rPr>
          <w:rFonts w:ascii="Times New Roman" w:hAnsi="Times New Roman"/>
          <w:sz w:val="22"/>
        </w:rPr>
        <w:t>in accordance with the rules of the Exchange.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12</w:t>
      </w:r>
      <w:r>
        <w:rPr>
          <w:rFonts w:ascii="Times New Roman" w:hAnsi="Times New Roman"/>
          <w:sz w:val="22"/>
        </w:rPr>
        <w:tab/>
        <w:t xml:space="preserve">A </w:t>
      </w:r>
      <w:r>
        <w:rPr>
          <w:rFonts w:ascii="Times New Roman" w:hAnsi="Times New Roman"/>
          <w:kern w:val="0"/>
          <w:sz w:val="22"/>
        </w:rPr>
        <w:t xml:space="preserve">designated delivery storage </w:t>
      </w:r>
      <w:proofErr w:type="gramStart"/>
      <w:r>
        <w:rPr>
          <w:rFonts w:ascii="Times New Roman" w:hAnsi="Times New Roman"/>
          <w:kern w:val="0"/>
          <w:sz w:val="22"/>
        </w:rPr>
        <w:t>facility</w:t>
      </w:r>
      <w:proofErr w:type="gramEnd"/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/>
          <w:sz w:val="22"/>
        </w:rPr>
        <w:t>is obligated to:</w:t>
      </w:r>
    </w:p>
    <w:p w:rsidR="005531BE" w:rsidRDefault="005531BE" w:rsidP="005531BE">
      <w:pPr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(vii) </w:t>
      </w:r>
      <w:proofErr w:type="gramStart"/>
      <w:r>
        <w:rPr>
          <w:rFonts w:ascii="Times New Roman" w:hAnsi="Times New Roman"/>
          <w:sz w:val="22"/>
        </w:rPr>
        <w:t>pay</w:t>
      </w:r>
      <w:proofErr w:type="gramEnd"/>
      <w:r>
        <w:rPr>
          <w:rFonts w:ascii="Times New Roman" w:hAnsi="Times New Roman"/>
          <w:sz w:val="22"/>
        </w:rPr>
        <w:t xml:space="preserve"> the </w:t>
      </w:r>
      <w:r>
        <w:rPr>
          <w:rFonts w:ascii="Times New Roman" w:hAnsi="Times New Roman"/>
          <w:dstrike/>
          <w:sz w:val="22"/>
        </w:rPr>
        <w:t xml:space="preserve">risk collateral </w:t>
      </w:r>
      <w:r>
        <w:rPr>
          <w:rFonts w:ascii="Times New Roman" w:hAnsi="Times New Roman"/>
          <w:sz w:val="22"/>
          <w:shd w:val="clear" w:color="auto" w:fill="D8D8D8"/>
        </w:rPr>
        <w:t>performance deposit</w:t>
      </w:r>
      <w:r>
        <w:rPr>
          <w:rFonts w:ascii="Times New Roman" w:hAnsi="Times New Roman"/>
          <w:sz w:val="22"/>
        </w:rPr>
        <w:t>;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15</w:t>
      </w:r>
      <w:r>
        <w:rPr>
          <w:rFonts w:ascii="Times New Roman" w:hAnsi="Times New Roman"/>
          <w:sz w:val="22"/>
        </w:rPr>
        <w:tab/>
        <w:t>Load-in is the first stage of goods storage, consisting of the following steps:</w:t>
      </w:r>
    </w:p>
    <w:p w:rsidR="005531BE" w:rsidRDefault="005531BE" w:rsidP="005531BE">
      <w:pPr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(iii) Load-in and issuance of standard warrants. The </w:t>
      </w:r>
      <w:r>
        <w:rPr>
          <w:rFonts w:ascii="Times New Roman" w:hAnsi="Times New Roman"/>
          <w:kern w:val="0"/>
          <w:sz w:val="22"/>
        </w:rPr>
        <w:t>designated delivery storage facility</w:t>
      </w:r>
      <w:r>
        <w:rPr>
          <w:rFonts w:ascii="Times New Roman" w:hAnsi="Times New Roman"/>
          <w:sz w:val="22"/>
        </w:rPr>
        <w:t xml:space="preserve"> may complete the load-in procedures only after the goods in question pass the acceptance inspection or after all issues uncovered during the inspection are resolved. The load-in procedures consist of:</w:t>
      </w:r>
    </w:p>
    <w:p w:rsidR="005531BE" w:rsidRDefault="005531BE" w:rsidP="005531BE">
      <w:pPr>
        <w:pStyle w:val="a4"/>
        <w:numPr>
          <w:ilvl w:val="0"/>
          <w:numId w:val="2"/>
        </w:numPr>
        <w:snapToGrid w:val="0"/>
        <w:spacing w:afterLines="100" w:line="276" w:lineRule="auto"/>
        <w:ind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registering the load-in in its record;</w:t>
      </w:r>
    </w:p>
    <w:p w:rsidR="005531BE" w:rsidRDefault="005531BE" w:rsidP="005531BE">
      <w:pPr>
        <w:pStyle w:val="a4"/>
        <w:numPr>
          <w:ilvl w:val="0"/>
          <w:numId w:val="2"/>
        </w:numPr>
        <w:snapToGrid w:val="0"/>
        <w:spacing w:afterLines="100" w:line="276" w:lineRule="auto"/>
        <w:ind w:firstLineChars="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setting up </w:t>
      </w:r>
      <w:r>
        <w:rPr>
          <w:rFonts w:ascii="Times New Roman" w:hAnsi="Times New Roman"/>
          <w:sz w:val="22"/>
        </w:rPr>
        <w:t>identifier to the goods in question;</w:t>
      </w:r>
    </w:p>
    <w:p w:rsidR="005531BE" w:rsidRDefault="005531BE" w:rsidP="005531BE">
      <w:pPr>
        <w:pStyle w:val="a4"/>
        <w:numPr>
          <w:ilvl w:val="0"/>
          <w:numId w:val="2"/>
        </w:numPr>
        <w:snapToGrid w:val="0"/>
        <w:spacing w:afterLines="100" w:line="276" w:lineRule="auto"/>
        <w:ind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creating a file for the goods; and</w:t>
      </w:r>
    </w:p>
    <w:p w:rsidR="005531BE" w:rsidRDefault="005531BE" w:rsidP="005531BE">
      <w:pPr>
        <w:pStyle w:val="a4"/>
        <w:numPr>
          <w:ilvl w:val="0"/>
          <w:numId w:val="2"/>
        </w:numPr>
        <w:snapToGrid w:val="0"/>
        <w:spacing w:afterLines="100" w:line="276" w:lineRule="auto"/>
        <w:ind w:firstLineChars="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issuing</w:t>
      </w:r>
      <w:proofErr w:type="gramEnd"/>
      <w:r>
        <w:rPr>
          <w:rFonts w:ascii="Times New Roman" w:hAnsi="Times New Roman"/>
          <w:sz w:val="22"/>
        </w:rPr>
        <w:t xml:space="preserve"> standard warrants as per the owner’s requirements and the rules of the Exchange.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18</w:t>
      </w:r>
      <w:r>
        <w:rPr>
          <w:rFonts w:ascii="Times New Roman" w:hAnsi="Times New Roman"/>
          <w:sz w:val="22"/>
        </w:rPr>
        <w:tab/>
        <w:t xml:space="preserve">At load-out, the </w:t>
      </w:r>
      <w:r>
        <w:rPr>
          <w:rFonts w:ascii="Times New Roman" w:hAnsi="Times New Roman"/>
          <w:kern w:val="0"/>
          <w:sz w:val="22"/>
        </w:rPr>
        <w:t>designated delivery storage facility</w:t>
      </w:r>
      <w:r>
        <w:rPr>
          <w:rFonts w:ascii="Times New Roman" w:hAnsi="Times New Roman"/>
          <w:sz w:val="22"/>
        </w:rPr>
        <w:t xml:space="preserve"> shall verify the load-out documentation before releasing the goods and, on the day the load-out is completed:</w:t>
      </w:r>
    </w:p>
    <w:p w:rsidR="005531BE" w:rsidRDefault="005531BE" w:rsidP="005531BE">
      <w:pPr>
        <w:pStyle w:val="a4"/>
        <w:widowControl/>
        <w:numPr>
          <w:ilvl w:val="0"/>
          <w:numId w:val="3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add and cancel relevant entries in the storage record;</w:t>
      </w:r>
    </w:p>
    <w:p w:rsidR="005531BE" w:rsidRDefault="005531BE" w:rsidP="005531BE">
      <w:pPr>
        <w:pStyle w:val="a4"/>
        <w:widowControl/>
        <w:numPr>
          <w:ilvl w:val="0"/>
          <w:numId w:val="3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organize and cancel the corresponding documents and certificates;</w:t>
      </w:r>
    </w:p>
    <w:p w:rsidR="005531BE" w:rsidRDefault="005531BE" w:rsidP="005531BE">
      <w:pPr>
        <w:pStyle w:val="a4"/>
        <w:widowControl/>
        <w:numPr>
          <w:ilvl w:val="0"/>
          <w:numId w:val="3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clean the facility;</w:t>
      </w:r>
    </w:p>
    <w:p w:rsidR="005531BE" w:rsidRDefault="005531BE" w:rsidP="005531BE">
      <w:pPr>
        <w:pStyle w:val="a4"/>
        <w:widowControl/>
        <w:numPr>
          <w:ilvl w:val="0"/>
          <w:numId w:val="3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put storage stacks in order; and</w:t>
      </w:r>
    </w:p>
    <w:p w:rsidR="005531BE" w:rsidRDefault="005531BE" w:rsidP="005531BE">
      <w:pPr>
        <w:pStyle w:val="a4"/>
        <w:widowControl/>
        <w:numPr>
          <w:ilvl w:val="0"/>
          <w:numId w:val="3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notify</w:t>
      </w:r>
      <w:proofErr w:type="gramEnd"/>
      <w:r>
        <w:rPr>
          <w:rFonts w:ascii="Times New Roman" w:hAnsi="Times New Roman"/>
          <w:sz w:val="22"/>
        </w:rPr>
        <w:t xml:space="preserve"> the carrier of the shipment plan for any goods to be consigned.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19</w:t>
      </w:r>
      <w:r>
        <w:rPr>
          <w:rFonts w:ascii="Times New Roman" w:hAnsi="Times New Roman"/>
          <w:sz w:val="22"/>
        </w:rPr>
        <w:tab/>
        <w:t xml:space="preserve">Goods title transfer. A </w:t>
      </w:r>
      <w:r>
        <w:rPr>
          <w:rFonts w:ascii="Times New Roman" w:hAnsi="Times New Roman"/>
          <w:kern w:val="0"/>
          <w:sz w:val="22"/>
        </w:rPr>
        <w:t>designated delivery storage facility</w:t>
      </w:r>
      <w:r>
        <w:rPr>
          <w:rFonts w:ascii="Times New Roman" w:hAnsi="Times New Roman"/>
          <w:sz w:val="22"/>
        </w:rPr>
        <w:t xml:space="preserve"> processing a title transfer shall keep proper record of the proceedings and duly add or cancel relevant entries in the storage record.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ind w:left="2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21</w:t>
      </w:r>
      <w:r>
        <w:rPr>
          <w:rFonts w:ascii="Times New Roman" w:hAnsi="Times New Roman"/>
          <w:sz w:val="22"/>
        </w:rPr>
        <w:tab/>
        <w:t>A</w:t>
      </w:r>
      <w:r>
        <w:rPr>
          <w:rFonts w:ascii="Times New Roman" w:hAnsi="Times New Roman"/>
          <w:kern w:val="0"/>
          <w:sz w:val="22"/>
        </w:rPr>
        <w:t xml:space="preserve"> designated delivery storage facility</w:t>
      </w:r>
      <w:r>
        <w:rPr>
          <w:rFonts w:ascii="Times New Roman" w:hAnsi="Times New Roman"/>
          <w:sz w:val="22"/>
        </w:rPr>
        <w:t xml:space="preserve"> shall maintain a separate record for the goods for futures delivery.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ind w:left="2" w:right="98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23</w:t>
      </w:r>
      <w:r>
        <w:rPr>
          <w:rFonts w:ascii="Times New Roman" w:hAnsi="Times New Roman"/>
          <w:sz w:val="22"/>
        </w:rPr>
        <w:tab/>
        <w:t>The Exchange will cover the following aspects in its audit:</w:t>
      </w:r>
    </w:p>
    <w:p w:rsidR="005531BE" w:rsidRDefault="005531BE" w:rsidP="005531BE">
      <w:pPr>
        <w:pStyle w:val="a4"/>
        <w:widowControl/>
        <w:numPr>
          <w:ilvl w:val="0"/>
          <w:numId w:val="4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warehousing facilities;</w:t>
      </w:r>
    </w:p>
    <w:p w:rsidR="005531BE" w:rsidRDefault="005531BE" w:rsidP="005531BE">
      <w:pPr>
        <w:pStyle w:val="a4"/>
        <w:widowControl/>
        <w:numPr>
          <w:ilvl w:val="0"/>
          <w:numId w:val="4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appearance;</w:t>
      </w:r>
    </w:p>
    <w:p w:rsidR="005531BE" w:rsidRDefault="005531BE" w:rsidP="005531BE">
      <w:pPr>
        <w:pStyle w:val="a4"/>
        <w:widowControl/>
        <w:numPr>
          <w:ilvl w:val="0"/>
          <w:numId w:val="4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business capacity;</w:t>
      </w:r>
    </w:p>
    <w:p w:rsidR="005531BE" w:rsidRDefault="005531BE" w:rsidP="005531BE">
      <w:pPr>
        <w:pStyle w:val="a4"/>
        <w:widowControl/>
        <w:numPr>
          <w:ilvl w:val="0"/>
          <w:numId w:val="4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performance;</w:t>
      </w:r>
    </w:p>
    <w:p w:rsidR="005531BE" w:rsidRDefault="005531BE" w:rsidP="005531BE">
      <w:pPr>
        <w:pStyle w:val="a4"/>
        <w:widowControl/>
        <w:numPr>
          <w:ilvl w:val="0"/>
          <w:numId w:val="4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records management;</w:t>
      </w:r>
    </w:p>
    <w:p w:rsidR="005531BE" w:rsidRDefault="005531BE" w:rsidP="005531BE">
      <w:pPr>
        <w:pStyle w:val="a4"/>
        <w:widowControl/>
        <w:numPr>
          <w:ilvl w:val="0"/>
          <w:numId w:val="4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member satisfaction; and</w:t>
      </w:r>
    </w:p>
    <w:p w:rsidR="005531BE" w:rsidRDefault="005531BE" w:rsidP="005531BE">
      <w:pPr>
        <w:pStyle w:val="a4"/>
        <w:widowControl/>
        <w:numPr>
          <w:ilvl w:val="0"/>
          <w:numId w:val="4"/>
        </w:numPr>
        <w:snapToGrid w:val="0"/>
        <w:spacing w:afterLines="100" w:line="276" w:lineRule="auto"/>
        <w:ind w:right="98" w:firstLineChars="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other</w:t>
      </w:r>
      <w:proofErr w:type="gramEnd"/>
      <w:r>
        <w:rPr>
          <w:rFonts w:ascii="Times New Roman" w:hAnsi="Times New Roman"/>
          <w:sz w:val="22"/>
        </w:rPr>
        <w:t xml:space="preserve"> areas deemed necessary by the Exchange.</w:t>
      </w:r>
    </w:p>
    <w:p w:rsidR="005531BE" w:rsidRDefault="005531BE" w:rsidP="005531BE">
      <w:pPr>
        <w:tabs>
          <w:tab w:val="left" w:pos="1080"/>
        </w:tabs>
        <w:snapToGrid w:val="0"/>
        <w:spacing w:afterLines="100" w:line="276" w:lineRule="auto"/>
        <w:ind w:right="5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Article 24</w:t>
      </w:r>
      <w:r>
        <w:rPr>
          <w:rFonts w:ascii="Times New Roman" w:hAnsi="Times New Roman"/>
          <w:sz w:val="22"/>
        </w:rPr>
        <w:tab/>
        <w:t xml:space="preserve">A </w:t>
      </w:r>
      <w:r>
        <w:rPr>
          <w:rFonts w:ascii="Times New Roman" w:hAnsi="Times New Roman"/>
          <w:kern w:val="0"/>
          <w:sz w:val="22"/>
        </w:rPr>
        <w:t>designated delivery storage facility</w:t>
      </w:r>
      <w:r>
        <w:rPr>
          <w:rFonts w:ascii="Times New Roman" w:hAnsi="Times New Roman"/>
          <w:sz w:val="22"/>
        </w:rPr>
        <w:t xml:space="preserve"> shall pay a </w:t>
      </w:r>
      <w:r>
        <w:rPr>
          <w:rFonts w:ascii="Times New Roman" w:hAnsi="Times New Roman"/>
          <w:dstrike/>
          <w:sz w:val="22"/>
        </w:rPr>
        <w:t xml:space="preserve">risk collateral </w:t>
      </w:r>
      <w:r>
        <w:rPr>
          <w:rFonts w:ascii="Times New Roman" w:hAnsi="Times New Roman"/>
          <w:sz w:val="22"/>
          <w:shd w:val="clear" w:color="auto" w:fill="D8D8D8"/>
        </w:rPr>
        <w:t xml:space="preserve">performance deposit </w:t>
      </w:r>
      <w:r>
        <w:rPr>
          <w:rFonts w:ascii="Times New Roman" w:hAnsi="Times New Roman"/>
          <w:sz w:val="22"/>
        </w:rPr>
        <w:t xml:space="preserve">to the Exchange as security for performance of obligations. If no indemnification arises, the Exchange will transfer interest on the </w:t>
      </w:r>
      <w:r>
        <w:rPr>
          <w:rFonts w:ascii="Times New Roman" w:hAnsi="Times New Roman"/>
          <w:dstrike/>
          <w:sz w:val="22"/>
        </w:rPr>
        <w:t xml:space="preserve">risk collateral </w:t>
      </w:r>
      <w:r>
        <w:rPr>
          <w:rFonts w:ascii="Times New Roman" w:hAnsi="Times New Roman"/>
          <w:sz w:val="22"/>
          <w:shd w:val="clear" w:color="auto" w:fill="D8D8D8"/>
        </w:rPr>
        <w:t xml:space="preserve">performance deposit </w:t>
      </w:r>
      <w:r>
        <w:rPr>
          <w:rFonts w:ascii="Times New Roman" w:hAnsi="Times New Roman"/>
          <w:sz w:val="22"/>
        </w:rPr>
        <w:t xml:space="preserve">to the </w:t>
      </w:r>
      <w:r>
        <w:rPr>
          <w:rFonts w:ascii="Times New Roman" w:hAnsi="Times New Roman"/>
          <w:kern w:val="0"/>
          <w:sz w:val="22"/>
        </w:rPr>
        <w:t>designated delivery storage facility</w:t>
      </w:r>
      <w:r>
        <w:rPr>
          <w:rFonts w:ascii="Times New Roman" w:hAnsi="Times New Roman"/>
          <w:sz w:val="22"/>
        </w:rPr>
        <w:t xml:space="preserve"> accrued at the prevailing current deposit rate set by the People’s Bank of China; if the </w:t>
      </w:r>
      <w:r>
        <w:rPr>
          <w:rFonts w:ascii="Times New Roman" w:hAnsi="Times New Roman"/>
          <w:kern w:val="0"/>
          <w:sz w:val="22"/>
        </w:rPr>
        <w:t>designated delivery storage facility</w:t>
      </w:r>
      <w:r>
        <w:rPr>
          <w:rFonts w:ascii="Times New Roman" w:hAnsi="Times New Roman"/>
          <w:sz w:val="22"/>
        </w:rPr>
        <w:t xml:space="preserve"> is required to indemnify another party, the Exchange will first apply the </w:t>
      </w:r>
      <w:r>
        <w:rPr>
          <w:rFonts w:ascii="Times New Roman" w:hAnsi="Times New Roman"/>
          <w:dstrike/>
          <w:sz w:val="22"/>
        </w:rPr>
        <w:t xml:space="preserve">risk collateral </w:t>
      </w:r>
      <w:r>
        <w:rPr>
          <w:rFonts w:ascii="Times New Roman" w:hAnsi="Times New Roman"/>
          <w:sz w:val="22"/>
          <w:shd w:val="clear" w:color="auto" w:fill="D8D8D8"/>
        </w:rPr>
        <w:t xml:space="preserve">performance deposit </w:t>
      </w:r>
      <w:r>
        <w:rPr>
          <w:rFonts w:ascii="Times New Roman" w:hAnsi="Times New Roman"/>
          <w:sz w:val="22"/>
        </w:rPr>
        <w:t xml:space="preserve">toward the indemnity, where such </w:t>
      </w:r>
      <w:r>
        <w:rPr>
          <w:rFonts w:ascii="Times New Roman" w:hAnsi="Times New Roman"/>
          <w:dstrike/>
          <w:sz w:val="22"/>
        </w:rPr>
        <w:t xml:space="preserve">risk collateral </w:t>
      </w:r>
      <w:r>
        <w:rPr>
          <w:rFonts w:ascii="Times New Roman" w:hAnsi="Times New Roman"/>
          <w:sz w:val="22"/>
          <w:shd w:val="clear" w:color="auto" w:fill="D8D8D8"/>
        </w:rPr>
        <w:t xml:space="preserve">performance deposit </w:t>
      </w:r>
      <w:r>
        <w:rPr>
          <w:rFonts w:ascii="Times New Roman" w:hAnsi="Times New Roman"/>
          <w:sz w:val="22"/>
        </w:rPr>
        <w:t xml:space="preserve">is insufficient to cover the indemnity, the Exchange is entitled to recover the shortfall from the </w:t>
      </w:r>
      <w:r>
        <w:rPr>
          <w:rFonts w:ascii="Times New Roman" w:hAnsi="Times New Roman"/>
          <w:kern w:val="0"/>
          <w:sz w:val="22"/>
        </w:rPr>
        <w:t>designated delivery storage facility</w:t>
      </w:r>
      <w:r>
        <w:rPr>
          <w:rFonts w:ascii="Times New Roman" w:hAnsi="Times New Roman"/>
          <w:sz w:val="22"/>
        </w:rPr>
        <w:t>.</w:t>
      </w:r>
    </w:p>
    <w:p w:rsidR="005531BE" w:rsidRDefault="005531BE" w:rsidP="005531BE">
      <w:pPr>
        <w:snapToGrid w:val="0"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amount and payment method for the </w:t>
      </w:r>
      <w:r>
        <w:rPr>
          <w:rFonts w:ascii="Times New Roman" w:hAnsi="Times New Roman"/>
          <w:dstrike/>
          <w:sz w:val="22"/>
        </w:rPr>
        <w:t xml:space="preserve">risk collateral </w:t>
      </w:r>
      <w:r>
        <w:rPr>
          <w:rFonts w:ascii="Times New Roman" w:hAnsi="Times New Roman"/>
          <w:sz w:val="22"/>
          <w:shd w:val="clear" w:color="auto" w:fill="D8D8D8"/>
        </w:rPr>
        <w:t xml:space="preserve">performance deposit </w:t>
      </w:r>
      <w:r>
        <w:rPr>
          <w:rFonts w:ascii="Times New Roman" w:hAnsi="Times New Roman"/>
          <w:sz w:val="22"/>
        </w:rPr>
        <w:t xml:space="preserve">are specified in the </w:t>
      </w:r>
      <w:r>
        <w:rPr>
          <w:rFonts w:ascii="Times New Roman" w:hAnsi="Times New Roman" w:hint="eastAsia"/>
          <w:kern w:val="0"/>
          <w:sz w:val="22"/>
        </w:rPr>
        <w:t>D</w:t>
      </w:r>
      <w:r>
        <w:rPr>
          <w:rFonts w:ascii="Times New Roman" w:hAnsi="Times New Roman"/>
          <w:kern w:val="0"/>
          <w:sz w:val="22"/>
        </w:rPr>
        <w:t xml:space="preserve">esignated </w:t>
      </w:r>
      <w:r>
        <w:rPr>
          <w:rFonts w:ascii="Times New Roman" w:hAnsi="Times New Roman" w:hint="eastAsia"/>
          <w:kern w:val="0"/>
          <w:sz w:val="22"/>
        </w:rPr>
        <w:t>D</w:t>
      </w:r>
      <w:r>
        <w:rPr>
          <w:rFonts w:ascii="Times New Roman" w:hAnsi="Times New Roman"/>
          <w:kern w:val="0"/>
          <w:sz w:val="22"/>
        </w:rPr>
        <w:t xml:space="preserve">elivery </w:t>
      </w:r>
      <w:r>
        <w:rPr>
          <w:rFonts w:ascii="Times New Roman" w:hAnsi="Times New Roman" w:hint="eastAsia"/>
          <w:kern w:val="0"/>
          <w:sz w:val="22"/>
        </w:rPr>
        <w:t>S</w:t>
      </w:r>
      <w:r>
        <w:rPr>
          <w:rFonts w:ascii="Times New Roman" w:hAnsi="Times New Roman"/>
          <w:kern w:val="0"/>
          <w:sz w:val="22"/>
        </w:rPr>
        <w:t xml:space="preserve">torage </w:t>
      </w:r>
      <w:r>
        <w:rPr>
          <w:rFonts w:ascii="Times New Roman" w:hAnsi="Times New Roman" w:hint="eastAsia"/>
          <w:kern w:val="0"/>
          <w:sz w:val="22"/>
        </w:rPr>
        <w:t>F</w:t>
      </w:r>
      <w:r>
        <w:rPr>
          <w:rFonts w:ascii="Times New Roman" w:hAnsi="Times New Roman"/>
          <w:kern w:val="0"/>
          <w:sz w:val="22"/>
        </w:rPr>
        <w:t>acility</w:t>
      </w:r>
      <w:r>
        <w:rPr>
          <w:rFonts w:ascii="Times New Roman" w:hAnsi="Times New Roman"/>
          <w:sz w:val="22"/>
        </w:rPr>
        <w:t xml:space="preserve"> Agreement.</w:t>
      </w:r>
    </w:p>
    <w:p w:rsidR="005531BE" w:rsidRDefault="005531BE" w:rsidP="005531BE">
      <w:pPr>
        <w:widowControl/>
        <w:jc w:val="left"/>
      </w:pPr>
    </w:p>
    <w:sectPr w:rsidR="005531BE" w:rsidSect="006A668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66" w:rsidRDefault="00A35AE6">
    <w:pPr>
      <w:pStyle w:val="a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</w:instrText>
    </w:r>
    <w:r>
      <w:rPr>
        <w:rFonts w:ascii="Times New Roman" w:hAnsi="Times New Roman"/>
        <w:sz w:val="20"/>
        <w:szCs w:val="20"/>
      </w:rPr>
      <w:instrText>\* MERGEFORMAT</w:instrText>
    </w:r>
    <w:r>
      <w:rPr>
        <w:rFonts w:ascii="Times New Roman" w:hAnsi="Times New Roman"/>
        <w:sz w:val="20"/>
        <w:szCs w:val="20"/>
      </w:rPr>
      <w:fldChar w:fldCharType="separate"/>
    </w:r>
    <w:r w:rsidRPr="00A35AE6">
      <w:rPr>
        <w:rFonts w:ascii="Times New Roman" w:hAnsi="Times New Roman"/>
        <w:noProof/>
        <w:sz w:val="20"/>
        <w:szCs w:val="20"/>
        <w:lang w:val="zh-CN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966"/>
    <w:multiLevelType w:val="multilevel"/>
    <w:tmpl w:val="0B003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89F"/>
    <w:multiLevelType w:val="multilevel"/>
    <w:tmpl w:val="11E358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6B70"/>
    <w:multiLevelType w:val="multilevel"/>
    <w:tmpl w:val="3D716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F078E"/>
    <w:multiLevelType w:val="multilevel"/>
    <w:tmpl w:val="3EFF0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A6082"/>
    <w:multiLevelType w:val="multilevel"/>
    <w:tmpl w:val="7ACA608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21C"/>
    <w:rsid w:val="000A23BB"/>
    <w:rsid w:val="005531BE"/>
    <w:rsid w:val="00590988"/>
    <w:rsid w:val="00685447"/>
    <w:rsid w:val="006A13F8"/>
    <w:rsid w:val="006A6684"/>
    <w:rsid w:val="00853833"/>
    <w:rsid w:val="00A35AE6"/>
    <w:rsid w:val="00D6021C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1C"/>
    <w:pPr>
      <w:widowControl w:val="0"/>
      <w:ind w:firstLineChars="0" w:firstLine="0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A13F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6A13F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D6021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60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6021C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6021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A13F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A13F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>SHFE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2018-06-26T09:23:00Z</dcterms:created>
  <dcterms:modified xsi:type="dcterms:W3CDTF">2018-06-26T09:23:00Z</dcterms:modified>
</cp:coreProperties>
</file>