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672" w:rsidRPr="001D5FFA" w:rsidRDefault="00840672" w:rsidP="00840672">
      <w:pPr>
        <w:rPr>
          <w:sz w:val="40"/>
        </w:rPr>
      </w:pPr>
      <w:r>
        <w:rPr>
          <w:sz w:val="40"/>
        </w:rPr>
        <w:t xml:space="preserve">Appendix </w:t>
      </w:r>
      <w:r w:rsidRPr="001D5FFA">
        <w:rPr>
          <w:sz w:val="40"/>
        </w:rPr>
        <w:t>1</w:t>
      </w:r>
    </w:p>
    <w:p w:rsidR="00840672" w:rsidRPr="001D5FFA" w:rsidRDefault="00840672" w:rsidP="00840672">
      <w:pPr>
        <w:jc w:val="center"/>
        <w:rPr>
          <w:sz w:val="40"/>
        </w:rPr>
      </w:pPr>
      <w:r w:rsidRPr="001D5FFA">
        <w:rPr>
          <w:sz w:val="40"/>
        </w:rPr>
        <w:t xml:space="preserve">Shanghai Futures Exchange Designated Steel </w:t>
      </w:r>
      <w:r>
        <w:rPr>
          <w:sz w:val="40"/>
        </w:rPr>
        <w:t xml:space="preserve">Rebar </w:t>
      </w:r>
      <w:r w:rsidRPr="001D5FFA">
        <w:rPr>
          <w:sz w:val="40"/>
        </w:rPr>
        <w:t>Factor</w:t>
      </w:r>
      <w:r>
        <w:rPr>
          <w:sz w:val="40"/>
        </w:rPr>
        <w:t>y</w:t>
      </w:r>
      <w:r w:rsidRPr="001D5FFA">
        <w:rPr>
          <w:sz w:val="40"/>
        </w:rPr>
        <w:t xml:space="preserve"> </w:t>
      </w:r>
      <w:r>
        <w:rPr>
          <w:sz w:val="40"/>
        </w:rPr>
        <w:t>Warehouses</w:t>
      </w:r>
      <w:r w:rsidRPr="001D5FFA">
        <w:rPr>
          <w:sz w:val="40"/>
        </w:rPr>
        <w:t xml:space="preserve"> and Delivery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8"/>
        <w:gridCol w:w="1480"/>
        <w:gridCol w:w="2736"/>
        <w:gridCol w:w="3012"/>
        <w:gridCol w:w="1973"/>
        <w:gridCol w:w="1244"/>
        <w:gridCol w:w="1149"/>
        <w:gridCol w:w="1046"/>
      </w:tblGrid>
      <w:tr w:rsidR="00840672" w:rsidRPr="007E5D20" w:rsidTr="00F44B75">
        <w:tc>
          <w:tcPr>
            <w:tcW w:w="1308" w:type="dxa"/>
            <w:shd w:val="clear" w:color="auto" w:fill="auto"/>
            <w:vAlign w:val="center"/>
          </w:tcPr>
          <w:p w:rsidR="00840672" w:rsidRPr="007E5D20" w:rsidRDefault="00840672" w:rsidP="00F44B75">
            <w:pPr>
              <w:jc w:val="center"/>
              <w:rPr>
                <w:b/>
                <w:szCs w:val="21"/>
              </w:rPr>
            </w:pPr>
            <w:r w:rsidRPr="007E5D20">
              <w:rPr>
                <w:b/>
                <w:szCs w:val="21"/>
              </w:rPr>
              <w:t xml:space="preserve">Name of Designated Steel </w:t>
            </w:r>
            <w:r>
              <w:rPr>
                <w:b/>
                <w:szCs w:val="21"/>
              </w:rPr>
              <w:t xml:space="preserve">Rebar </w:t>
            </w:r>
            <w:r w:rsidRPr="007E5D20">
              <w:rPr>
                <w:b/>
                <w:szCs w:val="21"/>
              </w:rPr>
              <w:t>Factory</w:t>
            </w:r>
          </w:p>
        </w:tc>
        <w:tc>
          <w:tcPr>
            <w:tcW w:w="1480" w:type="dxa"/>
            <w:shd w:val="clear" w:color="auto" w:fill="auto"/>
            <w:vAlign w:val="center"/>
          </w:tcPr>
          <w:p w:rsidR="00840672" w:rsidRPr="007E5D20" w:rsidRDefault="00840672" w:rsidP="00F44B75">
            <w:pPr>
              <w:jc w:val="center"/>
              <w:rPr>
                <w:b/>
                <w:szCs w:val="21"/>
              </w:rPr>
            </w:pPr>
            <w:r w:rsidRPr="007350AE">
              <w:rPr>
                <w:b/>
                <w:szCs w:val="21"/>
              </w:rPr>
              <w:t>Delivery Location</w:t>
            </w:r>
            <w:r w:rsidRPr="007E5D20">
              <w:rPr>
                <w:b/>
                <w:szCs w:val="21"/>
              </w:rPr>
              <w:t xml:space="preserve"> Name</w:t>
            </w:r>
          </w:p>
        </w:tc>
        <w:tc>
          <w:tcPr>
            <w:tcW w:w="2736" w:type="dxa"/>
            <w:shd w:val="clear" w:color="auto" w:fill="auto"/>
            <w:vAlign w:val="center"/>
          </w:tcPr>
          <w:p w:rsidR="00840672" w:rsidRPr="007E5D20" w:rsidRDefault="00840672" w:rsidP="00F44B75">
            <w:pPr>
              <w:jc w:val="center"/>
              <w:rPr>
                <w:b/>
                <w:szCs w:val="21"/>
              </w:rPr>
            </w:pPr>
            <w:r w:rsidRPr="007350AE">
              <w:rPr>
                <w:b/>
                <w:szCs w:val="21"/>
              </w:rPr>
              <w:t>Delivery Location</w:t>
            </w:r>
            <w:r w:rsidRPr="007E5D20">
              <w:rPr>
                <w:b/>
                <w:szCs w:val="21"/>
              </w:rPr>
              <w:t xml:space="preserve"> Address</w:t>
            </w:r>
          </w:p>
        </w:tc>
        <w:tc>
          <w:tcPr>
            <w:tcW w:w="3012" w:type="dxa"/>
            <w:shd w:val="clear" w:color="auto" w:fill="auto"/>
            <w:vAlign w:val="center"/>
          </w:tcPr>
          <w:p w:rsidR="00840672" w:rsidRPr="007E5D20" w:rsidRDefault="00840672" w:rsidP="00F44B75">
            <w:pPr>
              <w:jc w:val="center"/>
              <w:rPr>
                <w:b/>
                <w:szCs w:val="21"/>
              </w:rPr>
            </w:pPr>
            <w:r w:rsidRPr="007E5D20">
              <w:rPr>
                <w:b/>
                <w:szCs w:val="21"/>
              </w:rPr>
              <w:t>Benchmark/Non-Benchmark Delivery Location</w:t>
            </w:r>
          </w:p>
        </w:tc>
        <w:tc>
          <w:tcPr>
            <w:tcW w:w="1973" w:type="dxa"/>
            <w:shd w:val="clear" w:color="auto" w:fill="auto"/>
            <w:vAlign w:val="center"/>
          </w:tcPr>
          <w:p w:rsidR="00840672" w:rsidRPr="007E5D20" w:rsidRDefault="00840672" w:rsidP="00F44B75">
            <w:pPr>
              <w:jc w:val="center"/>
              <w:rPr>
                <w:b/>
                <w:szCs w:val="21"/>
              </w:rPr>
            </w:pPr>
            <w:r w:rsidRPr="007E5D20">
              <w:rPr>
                <w:b/>
                <w:szCs w:val="21"/>
              </w:rPr>
              <w:t>Premiums and Discounts</w:t>
            </w:r>
          </w:p>
          <w:p w:rsidR="00840672" w:rsidRPr="007E5D20" w:rsidRDefault="00840672" w:rsidP="00F44B75">
            <w:pPr>
              <w:jc w:val="center"/>
              <w:rPr>
                <w:b/>
                <w:szCs w:val="21"/>
              </w:rPr>
            </w:pPr>
            <w:r w:rsidRPr="007E5D20">
              <w:rPr>
                <w:b/>
                <w:szCs w:val="21"/>
              </w:rPr>
              <w:t>(Yuan/Ton)</w:t>
            </w:r>
          </w:p>
          <w:p w:rsidR="00840672" w:rsidRPr="007E5D20" w:rsidRDefault="00840672" w:rsidP="00F44B75">
            <w:pPr>
              <w:jc w:val="center"/>
              <w:rPr>
                <w:b/>
                <w:szCs w:val="21"/>
              </w:rPr>
            </w:pPr>
          </w:p>
        </w:tc>
        <w:tc>
          <w:tcPr>
            <w:tcW w:w="1244" w:type="dxa"/>
            <w:shd w:val="clear" w:color="auto" w:fill="auto"/>
            <w:vAlign w:val="center"/>
          </w:tcPr>
          <w:p w:rsidR="00840672" w:rsidRPr="007E5D20" w:rsidRDefault="00840672" w:rsidP="00F44B75">
            <w:pPr>
              <w:jc w:val="center"/>
              <w:rPr>
                <w:b/>
                <w:szCs w:val="21"/>
              </w:rPr>
            </w:pPr>
            <w:r w:rsidRPr="007E5D20">
              <w:rPr>
                <w:b/>
                <w:szCs w:val="21"/>
              </w:rPr>
              <w:t>Minimum Pickup Quantity (Ton)</w:t>
            </w:r>
          </w:p>
        </w:tc>
        <w:tc>
          <w:tcPr>
            <w:tcW w:w="1149" w:type="dxa"/>
            <w:shd w:val="clear" w:color="auto" w:fill="auto"/>
            <w:vAlign w:val="center"/>
          </w:tcPr>
          <w:p w:rsidR="00840672" w:rsidRPr="007E5D20" w:rsidRDefault="00840672" w:rsidP="00F44B75">
            <w:pPr>
              <w:jc w:val="center"/>
              <w:rPr>
                <w:b/>
                <w:szCs w:val="21"/>
              </w:rPr>
            </w:pPr>
            <w:r w:rsidRPr="007E5D20">
              <w:rPr>
                <w:b/>
                <w:szCs w:val="21"/>
              </w:rPr>
              <w:t>Daily Shipment Quantity (Ton)</w:t>
            </w:r>
          </w:p>
        </w:tc>
        <w:tc>
          <w:tcPr>
            <w:tcW w:w="1046" w:type="dxa"/>
            <w:shd w:val="clear" w:color="auto" w:fill="auto"/>
            <w:vAlign w:val="center"/>
          </w:tcPr>
          <w:p w:rsidR="00840672" w:rsidRPr="007E5D20" w:rsidRDefault="00840672" w:rsidP="00F44B75">
            <w:pPr>
              <w:jc w:val="center"/>
              <w:rPr>
                <w:b/>
                <w:szCs w:val="21"/>
              </w:rPr>
            </w:pPr>
            <w:r w:rsidRPr="007E5D20">
              <w:rPr>
                <w:b/>
                <w:szCs w:val="21"/>
              </w:rPr>
              <w:t>Days Prior to Taking Delivery (Day)</w:t>
            </w:r>
          </w:p>
        </w:tc>
      </w:tr>
      <w:tr w:rsidR="00840672" w:rsidRPr="007E5D20" w:rsidTr="00F44B75">
        <w:tc>
          <w:tcPr>
            <w:tcW w:w="1308" w:type="dxa"/>
            <w:vMerge w:val="restart"/>
            <w:shd w:val="clear" w:color="auto" w:fill="auto"/>
            <w:vAlign w:val="center"/>
          </w:tcPr>
          <w:p w:rsidR="00840672" w:rsidRPr="007E5D20" w:rsidRDefault="00840672" w:rsidP="00F44B75">
            <w:pPr>
              <w:jc w:val="center"/>
              <w:rPr>
                <w:szCs w:val="21"/>
              </w:rPr>
            </w:pPr>
            <w:r w:rsidRPr="007E5D20">
              <w:rPr>
                <w:szCs w:val="21"/>
              </w:rPr>
              <w:t>Angang Steel Co., Ltd.</w:t>
            </w:r>
          </w:p>
        </w:tc>
        <w:tc>
          <w:tcPr>
            <w:tcW w:w="1480" w:type="dxa"/>
            <w:shd w:val="clear" w:color="auto" w:fill="auto"/>
            <w:vAlign w:val="center"/>
          </w:tcPr>
          <w:p w:rsidR="00840672" w:rsidRPr="007E5D20" w:rsidRDefault="00840672" w:rsidP="00F44B75">
            <w:pPr>
              <w:jc w:val="center"/>
              <w:rPr>
                <w:szCs w:val="21"/>
              </w:rPr>
            </w:pPr>
            <w:r w:rsidRPr="007E5D20">
              <w:rPr>
                <w:szCs w:val="21"/>
              </w:rPr>
              <w:t>Zhenjiang Huilong Changjiang Port Services Co., Ltd.</w:t>
            </w:r>
          </w:p>
        </w:tc>
        <w:tc>
          <w:tcPr>
            <w:tcW w:w="2736" w:type="dxa"/>
            <w:shd w:val="clear" w:color="auto" w:fill="auto"/>
            <w:vAlign w:val="center"/>
          </w:tcPr>
          <w:p w:rsidR="00840672" w:rsidRPr="007E5D20" w:rsidRDefault="00840672" w:rsidP="00F44B75">
            <w:pPr>
              <w:jc w:val="center"/>
              <w:rPr>
                <w:szCs w:val="21"/>
              </w:rPr>
            </w:pPr>
            <w:r w:rsidRPr="007E5D20">
              <w:rPr>
                <w:szCs w:val="21"/>
              </w:rPr>
              <w:t>88 Jinqiao Avenue, Zhenjiang, Jiangsu</w:t>
            </w:r>
          </w:p>
        </w:tc>
        <w:tc>
          <w:tcPr>
            <w:tcW w:w="3012" w:type="dxa"/>
            <w:shd w:val="clear" w:color="auto" w:fill="auto"/>
            <w:vAlign w:val="center"/>
          </w:tcPr>
          <w:p w:rsidR="00840672" w:rsidRPr="007E5D20" w:rsidRDefault="00840672" w:rsidP="00F44B75">
            <w:pPr>
              <w:jc w:val="center"/>
              <w:rPr>
                <w:szCs w:val="21"/>
              </w:rPr>
            </w:pPr>
            <w:r w:rsidRPr="007E5D20">
              <w:rPr>
                <w:szCs w:val="21"/>
              </w:rPr>
              <w:t>Benchmark</w:t>
            </w:r>
          </w:p>
        </w:tc>
        <w:tc>
          <w:tcPr>
            <w:tcW w:w="1973" w:type="dxa"/>
            <w:shd w:val="clear" w:color="auto" w:fill="auto"/>
            <w:vAlign w:val="center"/>
          </w:tcPr>
          <w:p w:rsidR="00840672" w:rsidRPr="007E5D20" w:rsidRDefault="00840672" w:rsidP="00F44B75">
            <w:pPr>
              <w:jc w:val="center"/>
              <w:rPr>
                <w:szCs w:val="21"/>
              </w:rPr>
            </w:pPr>
            <w:r w:rsidRPr="007E5D20">
              <w:rPr>
                <w:szCs w:val="21"/>
              </w:rPr>
              <w:t>0</w:t>
            </w:r>
          </w:p>
        </w:tc>
        <w:tc>
          <w:tcPr>
            <w:tcW w:w="1244" w:type="dxa"/>
            <w:shd w:val="clear" w:color="auto" w:fill="auto"/>
            <w:vAlign w:val="center"/>
          </w:tcPr>
          <w:p w:rsidR="00840672" w:rsidRPr="007E5D20" w:rsidRDefault="00840672" w:rsidP="00F44B75">
            <w:pPr>
              <w:jc w:val="center"/>
              <w:rPr>
                <w:szCs w:val="21"/>
              </w:rPr>
            </w:pPr>
            <w:r w:rsidRPr="007E5D20">
              <w:rPr>
                <w:szCs w:val="21"/>
              </w:rPr>
              <w:t>1200</w:t>
            </w:r>
          </w:p>
        </w:tc>
        <w:tc>
          <w:tcPr>
            <w:tcW w:w="1149" w:type="dxa"/>
            <w:shd w:val="clear" w:color="auto" w:fill="auto"/>
            <w:vAlign w:val="center"/>
          </w:tcPr>
          <w:p w:rsidR="00840672" w:rsidRPr="007E5D20" w:rsidRDefault="00840672" w:rsidP="00F44B75">
            <w:pPr>
              <w:jc w:val="center"/>
              <w:rPr>
                <w:szCs w:val="21"/>
              </w:rPr>
            </w:pPr>
            <w:r w:rsidRPr="007E5D20">
              <w:rPr>
                <w:szCs w:val="21"/>
              </w:rPr>
              <w:t>3000</w:t>
            </w:r>
          </w:p>
        </w:tc>
        <w:tc>
          <w:tcPr>
            <w:tcW w:w="1046" w:type="dxa"/>
            <w:shd w:val="clear" w:color="auto" w:fill="auto"/>
            <w:vAlign w:val="center"/>
          </w:tcPr>
          <w:p w:rsidR="00840672" w:rsidRPr="007E5D20" w:rsidRDefault="00840672" w:rsidP="00F44B75">
            <w:pPr>
              <w:jc w:val="center"/>
              <w:rPr>
                <w:szCs w:val="21"/>
              </w:rPr>
            </w:pPr>
            <w:r w:rsidRPr="007E5D20">
              <w:rPr>
                <w:szCs w:val="21"/>
              </w:rPr>
              <w:t>25</w:t>
            </w:r>
          </w:p>
        </w:tc>
      </w:tr>
      <w:tr w:rsidR="00840672" w:rsidRPr="007E5D20" w:rsidTr="00F44B75">
        <w:tc>
          <w:tcPr>
            <w:tcW w:w="1308" w:type="dxa"/>
            <w:vMerge/>
            <w:shd w:val="clear" w:color="auto" w:fill="auto"/>
            <w:vAlign w:val="center"/>
          </w:tcPr>
          <w:p w:rsidR="00840672" w:rsidRPr="007E5D20" w:rsidRDefault="00840672" w:rsidP="00F44B75">
            <w:pPr>
              <w:jc w:val="center"/>
              <w:rPr>
                <w:szCs w:val="21"/>
              </w:rPr>
            </w:pPr>
          </w:p>
        </w:tc>
        <w:tc>
          <w:tcPr>
            <w:tcW w:w="1480" w:type="dxa"/>
            <w:shd w:val="clear" w:color="auto" w:fill="auto"/>
            <w:vAlign w:val="center"/>
          </w:tcPr>
          <w:p w:rsidR="00840672" w:rsidRPr="007E5D20" w:rsidRDefault="00840672" w:rsidP="00F44B75">
            <w:pPr>
              <w:jc w:val="center"/>
              <w:rPr>
                <w:szCs w:val="21"/>
              </w:rPr>
            </w:pPr>
            <w:r w:rsidRPr="007E5D20">
              <w:rPr>
                <w:szCs w:val="21"/>
              </w:rPr>
              <w:t>Zhejiang Kangyun Storage Co., Ltd.</w:t>
            </w:r>
          </w:p>
        </w:tc>
        <w:tc>
          <w:tcPr>
            <w:tcW w:w="2736" w:type="dxa"/>
            <w:shd w:val="clear" w:color="auto" w:fill="auto"/>
            <w:vAlign w:val="center"/>
          </w:tcPr>
          <w:p w:rsidR="00840672" w:rsidRPr="007E5D20" w:rsidRDefault="00840672" w:rsidP="00F44B75">
            <w:pPr>
              <w:jc w:val="center"/>
              <w:rPr>
                <w:szCs w:val="21"/>
              </w:rPr>
            </w:pPr>
            <w:r w:rsidRPr="007E5D20">
              <w:rPr>
                <w:szCs w:val="21"/>
              </w:rPr>
              <w:t>22-1 Changludou, Chongxian, Hangzhou, Zhejiang</w:t>
            </w:r>
          </w:p>
        </w:tc>
        <w:tc>
          <w:tcPr>
            <w:tcW w:w="3012" w:type="dxa"/>
            <w:shd w:val="clear" w:color="auto" w:fill="auto"/>
            <w:vAlign w:val="center"/>
          </w:tcPr>
          <w:p w:rsidR="00840672" w:rsidRPr="007E5D20" w:rsidRDefault="00840672" w:rsidP="00F44B75">
            <w:pPr>
              <w:jc w:val="center"/>
              <w:rPr>
                <w:szCs w:val="21"/>
              </w:rPr>
            </w:pPr>
            <w:r w:rsidRPr="007E5D20">
              <w:rPr>
                <w:szCs w:val="21"/>
              </w:rPr>
              <w:t>Non-Benchmark</w:t>
            </w:r>
          </w:p>
        </w:tc>
        <w:tc>
          <w:tcPr>
            <w:tcW w:w="1973" w:type="dxa"/>
            <w:shd w:val="clear" w:color="auto" w:fill="auto"/>
            <w:vAlign w:val="center"/>
          </w:tcPr>
          <w:p w:rsidR="00840672" w:rsidRPr="007E5D20" w:rsidRDefault="00840672" w:rsidP="00F44B75">
            <w:pPr>
              <w:jc w:val="center"/>
              <w:rPr>
                <w:szCs w:val="21"/>
              </w:rPr>
            </w:pPr>
            <w:r w:rsidRPr="007E5D20">
              <w:rPr>
                <w:szCs w:val="21"/>
              </w:rPr>
              <w:t>Noticed Separately</w:t>
            </w:r>
          </w:p>
        </w:tc>
        <w:tc>
          <w:tcPr>
            <w:tcW w:w="1244" w:type="dxa"/>
            <w:shd w:val="clear" w:color="auto" w:fill="auto"/>
            <w:vAlign w:val="center"/>
          </w:tcPr>
          <w:p w:rsidR="00840672" w:rsidRPr="007E5D20" w:rsidRDefault="00840672" w:rsidP="00F44B75">
            <w:pPr>
              <w:jc w:val="center"/>
              <w:rPr>
                <w:szCs w:val="21"/>
              </w:rPr>
            </w:pPr>
            <w:r w:rsidRPr="007E5D20">
              <w:rPr>
                <w:szCs w:val="21"/>
              </w:rPr>
              <w:t>1200</w:t>
            </w:r>
          </w:p>
        </w:tc>
        <w:tc>
          <w:tcPr>
            <w:tcW w:w="1149" w:type="dxa"/>
            <w:shd w:val="clear" w:color="auto" w:fill="auto"/>
            <w:vAlign w:val="center"/>
          </w:tcPr>
          <w:p w:rsidR="00840672" w:rsidRPr="007E5D20" w:rsidRDefault="00840672" w:rsidP="00F44B75">
            <w:pPr>
              <w:jc w:val="center"/>
              <w:rPr>
                <w:szCs w:val="21"/>
              </w:rPr>
            </w:pPr>
            <w:r w:rsidRPr="007E5D20">
              <w:rPr>
                <w:szCs w:val="21"/>
              </w:rPr>
              <w:t>3000</w:t>
            </w:r>
          </w:p>
        </w:tc>
        <w:tc>
          <w:tcPr>
            <w:tcW w:w="1046" w:type="dxa"/>
            <w:shd w:val="clear" w:color="auto" w:fill="auto"/>
            <w:vAlign w:val="center"/>
          </w:tcPr>
          <w:p w:rsidR="00840672" w:rsidRPr="007E5D20" w:rsidRDefault="00840672" w:rsidP="00F44B75">
            <w:pPr>
              <w:jc w:val="center"/>
              <w:rPr>
                <w:szCs w:val="21"/>
              </w:rPr>
            </w:pPr>
            <w:r w:rsidRPr="007E5D20">
              <w:rPr>
                <w:szCs w:val="21"/>
              </w:rPr>
              <w:t>25</w:t>
            </w:r>
          </w:p>
        </w:tc>
      </w:tr>
      <w:tr w:rsidR="00840672" w:rsidRPr="007E5D20" w:rsidTr="00F44B75">
        <w:tc>
          <w:tcPr>
            <w:tcW w:w="1308" w:type="dxa"/>
            <w:vMerge/>
            <w:shd w:val="clear" w:color="auto" w:fill="auto"/>
            <w:vAlign w:val="center"/>
          </w:tcPr>
          <w:p w:rsidR="00840672" w:rsidRPr="007E5D20" w:rsidRDefault="00840672" w:rsidP="00F44B75">
            <w:pPr>
              <w:jc w:val="center"/>
              <w:rPr>
                <w:szCs w:val="21"/>
              </w:rPr>
            </w:pPr>
          </w:p>
        </w:tc>
        <w:tc>
          <w:tcPr>
            <w:tcW w:w="1480" w:type="dxa"/>
            <w:shd w:val="clear" w:color="auto" w:fill="auto"/>
            <w:vAlign w:val="center"/>
          </w:tcPr>
          <w:p w:rsidR="00840672" w:rsidRPr="007E5D20" w:rsidRDefault="00840672" w:rsidP="00F44B75">
            <w:pPr>
              <w:jc w:val="center"/>
              <w:rPr>
                <w:szCs w:val="21"/>
              </w:rPr>
            </w:pPr>
            <w:r w:rsidRPr="007E5D20">
              <w:rPr>
                <w:szCs w:val="21"/>
              </w:rPr>
              <w:t>Angang Steel Co., Ltd.</w:t>
            </w:r>
          </w:p>
        </w:tc>
        <w:tc>
          <w:tcPr>
            <w:tcW w:w="2736" w:type="dxa"/>
            <w:shd w:val="clear" w:color="auto" w:fill="auto"/>
            <w:vAlign w:val="center"/>
          </w:tcPr>
          <w:p w:rsidR="00840672" w:rsidRPr="007E5D20" w:rsidRDefault="00840672" w:rsidP="00F44B75">
            <w:pPr>
              <w:jc w:val="center"/>
              <w:rPr>
                <w:szCs w:val="21"/>
              </w:rPr>
            </w:pPr>
            <w:r w:rsidRPr="007E5D20">
              <w:rPr>
                <w:szCs w:val="21"/>
              </w:rPr>
              <w:t>Tiexi,Anshan, Liaoning</w:t>
            </w:r>
          </w:p>
        </w:tc>
        <w:tc>
          <w:tcPr>
            <w:tcW w:w="3012" w:type="dxa"/>
            <w:shd w:val="clear" w:color="auto" w:fill="auto"/>
            <w:vAlign w:val="center"/>
          </w:tcPr>
          <w:p w:rsidR="00840672" w:rsidRPr="007E5D20" w:rsidRDefault="00840672" w:rsidP="00F44B75">
            <w:pPr>
              <w:jc w:val="center"/>
              <w:rPr>
                <w:szCs w:val="21"/>
              </w:rPr>
            </w:pPr>
            <w:r w:rsidRPr="007E5D20">
              <w:rPr>
                <w:szCs w:val="21"/>
              </w:rPr>
              <w:t>Non-Benchmark</w:t>
            </w:r>
          </w:p>
        </w:tc>
        <w:tc>
          <w:tcPr>
            <w:tcW w:w="1973" w:type="dxa"/>
            <w:shd w:val="clear" w:color="auto" w:fill="auto"/>
            <w:vAlign w:val="center"/>
          </w:tcPr>
          <w:p w:rsidR="00840672" w:rsidRPr="007E5D20" w:rsidRDefault="00840672" w:rsidP="00F44B75">
            <w:pPr>
              <w:jc w:val="center"/>
              <w:rPr>
                <w:szCs w:val="21"/>
              </w:rPr>
            </w:pPr>
            <w:r w:rsidRPr="007E5D20">
              <w:rPr>
                <w:szCs w:val="21"/>
              </w:rPr>
              <w:t>Noticed Separately</w:t>
            </w:r>
          </w:p>
        </w:tc>
        <w:tc>
          <w:tcPr>
            <w:tcW w:w="1244" w:type="dxa"/>
            <w:shd w:val="clear" w:color="auto" w:fill="auto"/>
            <w:vAlign w:val="center"/>
          </w:tcPr>
          <w:p w:rsidR="00840672" w:rsidRPr="007E5D20" w:rsidRDefault="00840672" w:rsidP="00F44B75">
            <w:pPr>
              <w:jc w:val="center"/>
              <w:rPr>
                <w:szCs w:val="21"/>
              </w:rPr>
            </w:pPr>
            <w:r w:rsidRPr="007E5D20">
              <w:rPr>
                <w:rFonts w:hint="eastAsia"/>
                <w:szCs w:val="21"/>
              </w:rPr>
              <w:t>-</w:t>
            </w:r>
          </w:p>
        </w:tc>
        <w:tc>
          <w:tcPr>
            <w:tcW w:w="1149" w:type="dxa"/>
            <w:shd w:val="clear" w:color="auto" w:fill="auto"/>
            <w:vAlign w:val="center"/>
          </w:tcPr>
          <w:p w:rsidR="00840672" w:rsidRPr="007E5D20" w:rsidRDefault="00840672" w:rsidP="00F44B75">
            <w:pPr>
              <w:jc w:val="center"/>
              <w:rPr>
                <w:szCs w:val="21"/>
              </w:rPr>
            </w:pPr>
            <w:r w:rsidRPr="007E5D20">
              <w:rPr>
                <w:szCs w:val="21"/>
              </w:rPr>
              <w:t>3000</w:t>
            </w:r>
          </w:p>
        </w:tc>
        <w:tc>
          <w:tcPr>
            <w:tcW w:w="1046" w:type="dxa"/>
            <w:shd w:val="clear" w:color="auto" w:fill="auto"/>
            <w:vAlign w:val="center"/>
          </w:tcPr>
          <w:p w:rsidR="00840672" w:rsidRPr="007E5D20" w:rsidRDefault="00840672" w:rsidP="00F44B75">
            <w:pPr>
              <w:jc w:val="center"/>
              <w:rPr>
                <w:szCs w:val="21"/>
              </w:rPr>
            </w:pPr>
            <w:r w:rsidRPr="007E5D20">
              <w:rPr>
                <w:rFonts w:hint="eastAsia"/>
                <w:szCs w:val="21"/>
              </w:rPr>
              <w:t>7</w:t>
            </w:r>
          </w:p>
        </w:tc>
      </w:tr>
      <w:tr w:rsidR="00840672" w:rsidRPr="007E5D20" w:rsidTr="00F44B75">
        <w:tc>
          <w:tcPr>
            <w:tcW w:w="1308" w:type="dxa"/>
            <w:vMerge w:val="restart"/>
            <w:shd w:val="clear" w:color="auto" w:fill="auto"/>
            <w:vAlign w:val="center"/>
          </w:tcPr>
          <w:p w:rsidR="00840672" w:rsidRPr="007E5D20" w:rsidRDefault="00840672" w:rsidP="00F44B75">
            <w:pPr>
              <w:jc w:val="center"/>
              <w:rPr>
                <w:szCs w:val="21"/>
              </w:rPr>
            </w:pPr>
            <w:r w:rsidRPr="007E5D20">
              <w:rPr>
                <w:rFonts w:hint="eastAsia"/>
                <w:szCs w:val="21"/>
              </w:rPr>
              <w:t>Jiangsu Shagang</w:t>
            </w:r>
            <w:r w:rsidRPr="007E5D20">
              <w:rPr>
                <w:szCs w:val="21"/>
              </w:rPr>
              <w:t xml:space="preserve"> Group Co., Ltd</w:t>
            </w:r>
          </w:p>
        </w:tc>
        <w:tc>
          <w:tcPr>
            <w:tcW w:w="1480" w:type="dxa"/>
            <w:shd w:val="clear" w:color="auto" w:fill="auto"/>
            <w:vAlign w:val="center"/>
          </w:tcPr>
          <w:p w:rsidR="00840672" w:rsidRPr="007E5D20" w:rsidRDefault="00840672" w:rsidP="00F44B75">
            <w:pPr>
              <w:jc w:val="center"/>
              <w:rPr>
                <w:szCs w:val="21"/>
              </w:rPr>
            </w:pPr>
            <w:r w:rsidRPr="007E5D20">
              <w:rPr>
                <w:szCs w:val="21"/>
              </w:rPr>
              <w:t>Zhenjiang</w:t>
            </w:r>
            <w:r w:rsidRPr="007E5D20">
              <w:rPr>
                <w:rFonts w:hint="eastAsia"/>
                <w:szCs w:val="21"/>
              </w:rPr>
              <w:t xml:space="preserve"> </w:t>
            </w:r>
            <w:r w:rsidRPr="007E5D20">
              <w:rPr>
                <w:szCs w:val="21"/>
              </w:rPr>
              <w:t>Huilong</w:t>
            </w:r>
          </w:p>
          <w:p w:rsidR="00840672" w:rsidRPr="007E5D20" w:rsidRDefault="00840672" w:rsidP="00F44B75">
            <w:pPr>
              <w:jc w:val="center"/>
              <w:rPr>
                <w:szCs w:val="21"/>
              </w:rPr>
            </w:pPr>
            <w:r w:rsidRPr="007E5D20">
              <w:rPr>
                <w:szCs w:val="21"/>
              </w:rPr>
              <w:t>Changjiang Port Services</w:t>
            </w:r>
          </w:p>
          <w:p w:rsidR="00840672" w:rsidRPr="007E5D20" w:rsidRDefault="00840672" w:rsidP="00F44B75">
            <w:pPr>
              <w:jc w:val="center"/>
              <w:rPr>
                <w:szCs w:val="21"/>
              </w:rPr>
            </w:pPr>
            <w:r w:rsidRPr="007E5D20">
              <w:rPr>
                <w:szCs w:val="21"/>
              </w:rPr>
              <w:t>Co., Ltd.</w:t>
            </w:r>
          </w:p>
          <w:p w:rsidR="00840672" w:rsidRPr="007E5D20" w:rsidRDefault="00840672" w:rsidP="00F44B75">
            <w:pPr>
              <w:jc w:val="center"/>
              <w:rPr>
                <w:szCs w:val="21"/>
              </w:rPr>
            </w:pPr>
          </w:p>
        </w:tc>
        <w:tc>
          <w:tcPr>
            <w:tcW w:w="2736" w:type="dxa"/>
            <w:shd w:val="clear" w:color="auto" w:fill="auto"/>
            <w:vAlign w:val="center"/>
          </w:tcPr>
          <w:p w:rsidR="00840672" w:rsidRPr="007E5D20" w:rsidRDefault="00840672" w:rsidP="00F44B75">
            <w:pPr>
              <w:jc w:val="center"/>
              <w:rPr>
                <w:szCs w:val="21"/>
              </w:rPr>
            </w:pPr>
            <w:r w:rsidRPr="007E5D20">
              <w:rPr>
                <w:szCs w:val="21"/>
              </w:rPr>
              <w:t>88 Jinqiao Avenue, Zhenjiang,Jiangsu</w:t>
            </w:r>
          </w:p>
        </w:tc>
        <w:tc>
          <w:tcPr>
            <w:tcW w:w="3012" w:type="dxa"/>
            <w:shd w:val="clear" w:color="auto" w:fill="auto"/>
            <w:vAlign w:val="center"/>
          </w:tcPr>
          <w:p w:rsidR="00840672" w:rsidRPr="007E5D20" w:rsidRDefault="00840672" w:rsidP="00F44B75">
            <w:pPr>
              <w:jc w:val="center"/>
              <w:rPr>
                <w:szCs w:val="21"/>
              </w:rPr>
            </w:pPr>
            <w:r w:rsidRPr="007E5D20">
              <w:rPr>
                <w:szCs w:val="21"/>
              </w:rPr>
              <w:t>Benchmark</w:t>
            </w:r>
          </w:p>
        </w:tc>
        <w:tc>
          <w:tcPr>
            <w:tcW w:w="1973" w:type="dxa"/>
            <w:shd w:val="clear" w:color="auto" w:fill="auto"/>
            <w:vAlign w:val="center"/>
          </w:tcPr>
          <w:p w:rsidR="00840672" w:rsidRPr="007E5D20" w:rsidRDefault="00840672" w:rsidP="00F44B75">
            <w:pPr>
              <w:jc w:val="center"/>
              <w:rPr>
                <w:szCs w:val="21"/>
              </w:rPr>
            </w:pPr>
            <w:r w:rsidRPr="007E5D20">
              <w:rPr>
                <w:rFonts w:hint="eastAsia"/>
                <w:szCs w:val="21"/>
              </w:rPr>
              <w:t>0</w:t>
            </w:r>
          </w:p>
        </w:tc>
        <w:tc>
          <w:tcPr>
            <w:tcW w:w="1244" w:type="dxa"/>
            <w:shd w:val="clear" w:color="auto" w:fill="auto"/>
            <w:vAlign w:val="center"/>
          </w:tcPr>
          <w:p w:rsidR="00840672" w:rsidRPr="007E5D20" w:rsidRDefault="00840672" w:rsidP="00F44B75">
            <w:pPr>
              <w:jc w:val="center"/>
              <w:rPr>
                <w:szCs w:val="21"/>
              </w:rPr>
            </w:pPr>
            <w:r w:rsidRPr="007E5D20">
              <w:rPr>
                <w:szCs w:val="21"/>
              </w:rPr>
              <w:t>1200</w:t>
            </w:r>
          </w:p>
        </w:tc>
        <w:tc>
          <w:tcPr>
            <w:tcW w:w="1149" w:type="dxa"/>
            <w:shd w:val="clear" w:color="auto" w:fill="auto"/>
            <w:vAlign w:val="center"/>
          </w:tcPr>
          <w:p w:rsidR="00840672" w:rsidRPr="007E5D20" w:rsidRDefault="00840672" w:rsidP="00F44B75">
            <w:pPr>
              <w:jc w:val="center"/>
              <w:rPr>
                <w:szCs w:val="21"/>
              </w:rPr>
            </w:pPr>
            <w:r w:rsidRPr="007E5D20">
              <w:rPr>
                <w:szCs w:val="21"/>
              </w:rPr>
              <w:t>3000</w:t>
            </w:r>
          </w:p>
        </w:tc>
        <w:tc>
          <w:tcPr>
            <w:tcW w:w="1046" w:type="dxa"/>
            <w:shd w:val="clear" w:color="auto" w:fill="auto"/>
            <w:vAlign w:val="center"/>
          </w:tcPr>
          <w:p w:rsidR="00840672" w:rsidRPr="007E5D20" w:rsidRDefault="00840672" w:rsidP="00F44B75">
            <w:pPr>
              <w:jc w:val="center"/>
              <w:rPr>
                <w:szCs w:val="21"/>
              </w:rPr>
            </w:pPr>
            <w:r w:rsidRPr="007E5D20">
              <w:rPr>
                <w:szCs w:val="21"/>
              </w:rPr>
              <w:t>15</w:t>
            </w:r>
          </w:p>
        </w:tc>
      </w:tr>
      <w:tr w:rsidR="00840672" w:rsidRPr="007E5D20" w:rsidTr="00F44B75">
        <w:tc>
          <w:tcPr>
            <w:tcW w:w="1308" w:type="dxa"/>
            <w:vMerge/>
            <w:shd w:val="clear" w:color="auto" w:fill="auto"/>
            <w:vAlign w:val="center"/>
          </w:tcPr>
          <w:p w:rsidR="00840672" w:rsidRPr="007E5D20" w:rsidRDefault="00840672" w:rsidP="00F44B75">
            <w:pPr>
              <w:jc w:val="center"/>
              <w:rPr>
                <w:szCs w:val="21"/>
              </w:rPr>
            </w:pPr>
          </w:p>
        </w:tc>
        <w:tc>
          <w:tcPr>
            <w:tcW w:w="1480" w:type="dxa"/>
            <w:shd w:val="clear" w:color="auto" w:fill="auto"/>
            <w:vAlign w:val="center"/>
          </w:tcPr>
          <w:p w:rsidR="00840672" w:rsidRPr="007E5D20" w:rsidRDefault="00840672" w:rsidP="00F44B75">
            <w:pPr>
              <w:jc w:val="center"/>
              <w:rPr>
                <w:szCs w:val="21"/>
              </w:rPr>
            </w:pPr>
            <w:r w:rsidRPr="007E5D20">
              <w:rPr>
                <w:rFonts w:hint="eastAsia"/>
                <w:szCs w:val="21"/>
              </w:rPr>
              <w:t>J</w:t>
            </w:r>
            <w:r w:rsidRPr="007E5D20">
              <w:rPr>
                <w:szCs w:val="21"/>
              </w:rPr>
              <w:t>iulong Steel Logistics Co.Ltd</w:t>
            </w:r>
          </w:p>
        </w:tc>
        <w:tc>
          <w:tcPr>
            <w:tcW w:w="2736" w:type="dxa"/>
            <w:shd w:val="clear" w:color="auto" w:fill="auto"/>
            <w:vAlign w:val="center"/>
          </w:tcPr>
          <w:p w:rsidR="00840672" w:rsidRPr="007E5D20" w:rsidRDefault="00840672" w:rsidP="00F44B75">
            <w:pPr>
              <w:jc w:val="center"/>
              <w:rPr>
                <w:szCs w:val="21"/>
              </w:rPr>
            </w:pPr>
            <w:r w:rsidRPr="007E5D20">
              <w:rPr>
                <w:rFonts w:hint="eastAsia"/>
                <w:szCs w:val="21"/>
              </w:rPr>
              <w:t>181 Jinxiu Road,Jiangsu Yangzi River I</w:t>
            </w:r>
            <w:r w:rsidRPr="007E5D20">
              <w:rPr>
                <w:szCs w:val="21"/>
              </w:rPr>
              <w:t>nternational Metallurgical Industry Park, Jinfeng Town,Zhangjiagang, Jiangsu Province</w:t>
            </w:r>
          </w:p>
        </w:tc>
        <w:tc>
          <w:tcPr>
            <w:tcW w:w="3012" w:type="dxa"/>
            <w:shd w:val="clear" w:color="auto" w:fill="auto"/>
            <w:vAlign w:val="center"/>
          </w:tcPr>
          <w:p w:rsidR="00840672" w:rsidRPr="007E5D20" w:rsidRDefault="00840672" w:rsidP="00F44B75">
            <w:pPr>
              <w:jc w:val="center"/>
              <w:rPr>
                <w:szCs w:val="21"/>
              </w:rPr>
            </w:pPr>
            <w:r w:rsidRPr="007E5D20">
              <w:rPr>
                <w:szCs w:val="21"/>
              </w:rPr>
              <w:t>Non-Benchmark</w:t>
            </w:r>
          </w:p>
        </w:tc>
        <w:tc>
          <w:tcPr>
            <w:tcW w:w="1973" w:type="dxa"/>
            <w:shd w:val="clear" w:color="auto" w:fill="auto"/>
            <w:vAlign w:val="center"/>
          </w:tcPr>
          <w:p w:rsidR="00840672" w:rsidRPr="007E5D20" w:rsidRDefault="00840672" w:rsidP="00F44B75">
            <w:pPr>
              <w:jc w:val="center"/>
              <w:rPr>
                <w:szCs w:val="21"/>
              </w:rPr>
            </w:pPr>
            <w:r w:rsidRPr="007E5D20">
              <w:rPr>
                <w:szCs w:val="21"/>
              </w:rPr>
              <w:t>Noticed Separately</w:t>
            </w:r>
          </w:p>
        </w:tc>
        <w:tc>
          <w:tcPr>
            <w:tcW w:w="1244" w:type="dxa"/>
            <w:shd w:val="clear" w:color="auto" w:fill="auto"/>
            <w:vAlign w:val="center"/>
          </w:tcPr>
          <w:p w:rsidR="00840672" w:rsidRPr="007E5D20" w:rsidRDefault="00840672" w:rsidP="00F44B75">
            <w:pPr>
              <w:jc w:val="center"/>
              <w:rPr>
                <w:szCs w:val="21"/>
              </w:rPr>
            </w:pPr>
            <w:r w:rsidRPr="007E5D20">
              <w:rPr>
                <w:rFonts w:hint="eastAsia"/>
                <w:szCs w:val="21"/>
              </w:rPr>
              <w:t>120</w:t>
            </w:r>
            <w:r w:rsidRPr="007E5D20">
              <w:rPr>
                <w:szCs w:val="21"/>
              </w:rPr>
              <w:t>0</w:t>
            </w:r>
          </w:p>
        </w:tc>
        <w:tc>
          <w:tcPr>
            <w:tcW w:w="1149" w:type="dxa"/>
            <w:shd w:val="clear" w:color="auto" w:fill="auto"/>
            <w:vAlign w:val="center"/>
          </w:tcPr>
          <w:p w:rsidR="00840672" w:rsidRPr="007E5D20" w:rsidRDefault="00840672" w:rsidP="00F44B75">
            <w:pPr>
              <w:jc w:val="center"/>
              <w:rPr>
                <w:szCs w:val="21"/>
              </w:rPr>
            </w:pPr>
            <w:r w:rsidRPr="007E5D20">
              <w:rPr>
                <w:rFonts w:hint="eastAsia"/>
                <w:szCs w:val="21"/>
              </w:rPr>
              <w:t>3000</w:t>
            </w:r>
          </w:p>
        </w:tc>
        <w:tc>
          <w:tcPr>
            <w:tcW w:w="1046" w:type="dxa"/>
            <w:shd w:val="clear" w:color="auto" w:fill="auto"/>
            <w:vAlign w:val="center"/>
          </w:tcPr>
          <w:p w:rsidR="00840672" w:rsidRPr="007E5D20" w:rsidRDefault="00840672" w:rsidP="00F44B75">
            <w:pPr>
              <w:jc w:val="center"/>
              <w:rPr>
                <w:szCs w:val="21"/>
              </w:rPr>
            </w:pPr>
            <w:r w:rsidRPr="007E5D20">
              <w:rPr>
                <w:rFonts w:hint="eastAsia"/>
                <w:szCs w:val="21"/>
              </w:rPr>
              <w:t>7</w:t>
            </w:r>
          </w:p>
        </w:tc>
      </w:tr>
      <w:tr w:rsidR="00840672" w:rsidRPr="007E5D20" w:rsidTr="00F44B75">
        <w:tc>
          <w:tcPr>
            <w:tcW w:w="1308" w:type="dxa"/>
            <w:vMerge/>
            <w:shd w:val="clear" w:color="auto" w:fill="auto"/>
            <w:vAlign w:val="center"/>
          </w:tcPr>
          <w:p w:rsidR="00840672" w:rsidRPr="007E5D20" w:rsidRDefault="00840672" w:rsidP="00F44B75">
            <w:pPr>
              <w:jc w:val="center"/>
              <w:rPr>
                <w:szCs w:val="21"/>
              </w:rPr>
            </w:pPr>
          </w:p>
        </w:tc>
        <w:tc>
          <w:tcPr>
            <w:tcW w:w="1480" w:type="dxa"/>
            <w:shd w:val="clear" w:color="auto" w:fill="auto"/>
            <w:vAlign w:val="center"/>
          </w:tcPr>
          <w:p w:rsidR="00840672" w:rsidRPr="007E5D20" w:rsidRDefault="00840672" w:rsidP="00F44B75">
            <w:pPr>
              <w:jc w:val="center"/>
              <w:rPr>
                <w:szCs w:val="21"/>
              </w:rPr>
            </w:pPr>
            <w:r w:rsidRPr="007E5D20">
              <w:rPr>
                <w:szCs w:val="21"/>
              </w:rPr>
              <w:t>Zhejiang Kangyun Storage Co., Ltd.</w:t>
            </w:r>
          </w:p>
        </w:tc>
        <w:tc>
          <w:tcPr>
            <w:tcW w:w="2736" w:type="dxa"/>
            <w:shd w:val="clear" w:color="auto" w:fill="auto"/>
            <w:vAlign w:val="center"/>
          </w:tcPr>
          <w:p w:rsidR="00840672" w:rsidRPr="007E5D20" w:rsidRDefault="00840672" w:rsidP="00F44B75">
            <w:pPr>
              <w:jc w:val="center"/>
              <w:rPr>
                <w:szCs w:val="21"/>
              </w:rPr>
            </w:pPr>
            <w:r w:rsidRPr="007E5D20">
              <w:rPr>
                <w:szCs w:val="21"/>
              </w:rPr>
              <w:t>22-1 Changludou, Chongxian, Hangzhou, Zhejiang</w:t>
            </w:r>
          </w:p>
        </w:tc>
        <w:tc>
          <w:tcPr>
            <w:tcW w:w="3012" w:type="dxa"/>
            <w:shd w:val="clear" w:color="auto" w:fill="auto"/>
            <w:vAlign w:val="center"/>
          </w:tcPr>
          <w:p w:rsidR="00840672" w:rsidRPr="007E5D20" w:rsidRDefault="00840672" w:rsidP="00F44B75">
            <w:pPr>
              <w:jc w:val="center"/>
              <w:rPr>
                <w:szCs w:val="21"/>
              </w:rPr>
            </w:pPr>
            <w:r w:rsidRPr="007E5D20">
              <w:rPr>
                <w:szCs w:val="21"/>
              </w:rPr>
              <w:t>Non-Benchmark</w:t>
            </w:r>
          </w:p>
        </w:tc>
        <w:tc>
          <w:tcPr>
            <w:tcW w:w="1973" w:type="dxa"/>
            <w:shd w:val="clear" w:color="auto" w:fill="auto"/>
            <w:vAlign w:val="center"/>
          </w:tcPr>
          <w:p w:rsidR="00840672" w:rsidRPr="007E5D20" w:rsidRDefault="00840672" w:rsidP="00F44B75">
            <w:pPr>
              <w:jc w:val="center"/>
              <w:rPr>
                <w:szCs w:val="21"/>
              </w:rPr>
            </w:pPr>
            <w:r w:rsidRPr="007E5D20">
              <w:rPr>
                <w:szCs w:val="21"/>
              </w:rPr>
              <w:t>Noticed Separately</w:t>
            </w:r>
          </w:p>
        </w:tc>
        <w:tc>
          <w:tcPr>
            <w:tcW w:w="1244" w:type="dxa"/>
            <w:shd w:val="clear" w:color="auto" w:fill="auto"/>
            <w:vAlign w:val="center"/>
          </w:tcPr>
          <w:p w:rsidR="00840672" w:rsidRPr="007E5D20" w:rsidRDefault="00840672" w:rsidP="00F44B75">
            <w:pPr>
              <w:jc w:val="center"/>
              <w:rPr>
                <w:szCs w:val="21"/>
              </w:rPr>
            </w:pPr>
            <w:r w:rsidRPr="007E5D20">
              <w:rPr>
                <w:rFonts w:hint="eastAsia"/>
                <w:szCs w:val="21"/>
              </w:rPr>
              <w:t>1200</w:t>
            </w:r>
          </w:p>
        </w:tc>
        <w:tc>
          <w:tcPr>
            <w:tcW w:w="1149" w:type="dxa"/>
            <w:shd w:val="clear" w:color="auto" w:fill="auto"/>
            <w:vAlign w:val="center"/>
          </w:tcPr>
          <w:p w:rsidR="00840672" w:rsidRPr="007E5D20" w:rsidRDefault="00840672" w:rsidP="00F44B75">
            <w:pPr>
              <w:jc w:val="center"/>
              <w:rPr>
                <w:szCs w:val="21"/>
              </w:rPr>
            </w:pPr>
            <w:r w:rsidRPr="007E5D20">
              <w:rPr>
                <w:rFonts w:hint="eastAsia"/>
                <w:szCs w:val="21"/>
              </w:rPr>
              <w:t>3000</w:t>
            </w:r>
          </w:p>
        </w:tc>
        <w:tc>
          <w:tcPr>
            <w:tcW w:w="1046" w:type="dxa"/>
            <w:shd w:val="clear" w:color="auto" w:fill="auto"/>
            <w:vAlign w:val="center"/>
          </w:tcPr>
          <w:p w:rsidR="00840672" w:rsidRPr="007E5D20" w:rsidRDefault="00840672" w:rsidP="00F44B75">
            <w:pPr>
              <w:jc w:val="center"/>
              <w:rPr>
                <w:szCs w:val="21"/>
              </w:rPr>
            </w:pPr>
            <w:r w:rsidRPr="007E5D20">
              <w:rPr>
                <w:rFonts w:hint="eastAsia"/>
                <w:szCs w:val="21"/>
              </w:rPr>
              <w:t>15</w:t>
            </w:r>
          </w:p>
        </w:tc>
      </w:tr>
      <w:tr w:rsidR="00840672" w:rsidRPr="007E5D20" w:rsidTr="00F44B75">
        <w:tc>
          <w:tcPr>
            <w:tcW w:w="1308" w:type="dxa"/>
            <w:vMerge/>
            <w:shd w:val="clear" w:color="auto" w:fill="auto"/>
            <w:vAlign w:val="center"/>
          </w:tcPr>
          <w:p w:rsidR="00840672" w:rsidRPr="007E5D20" w:rsidRDefault="00840672" w:rsidP="00F44B75">
            <w:pPr>
              <w:jc w:val="center"/>
              <w:rPr>
                <w:szCs w:val="21"/>
              </w:rPr>
            </w:pPr>
          </w:p>
        </w:tc>
        <w:tc>
          <w:tcPr>
            <w:tcW w:w="1480" w:type="dxa"/>
            <w:shd w:val="clear" w:color="auto" w:fill="auto"/>
            <w:vAlign w:val="center"/>
          </w:tcPr>
          <w:p w:rsidR="00840672" w:rsidRPr="007E5D20" w:rsidRDefault="00840672" w:rsidP="00F44B75">
            <w:pPr>
              <w:jc w:val="center"/>
              <w:rPr>
                <w:szCs w:val="21"/>
              </w:rPr>
            </w:pPr>
            <w:r w:rsidRPr="007E5D20">
              <w:rPr>
                <w:rFonts w:hint="eastAsia"/>
                <w:szCs w:val="21"/>
              </w:rPr>
              <w:t>Jiangsu Shagang</w:t>
            </w:r>
            <w:r w:rsidRPr="007E5D20">
              <w:rPr>
                <w:szCs w:val="21"/>
              </w:rPr>
              <w:t xml:space="preserve"> Group Co., Ltd</w:t>
            </w:r>
          </w:p>
        </w:tc>
        <w:tc>
          <w:tcPr>
            <w:tcW w:w="2736" w:type="dxa"/>
            <w:shd w:val="clear" w:color="auto" w:fill="auto"/>
            <w:vAlign w:val="center"/>
          </w:tcPr>
          <w:p w:rsidR="00840672" w:rsidRPr="007E5D20" w:rsidRDefault="00840672" w:rsidP="00F44B75">
            <w:pPr>
              <w:jc w:val="center"/>
              <w:rPr>
                <w:szCs w:val="21"/>
              </w:rPr>
            </w:pPr>
            <w:r w:rsidRPr="007E5D20">
              <w:rPr>
                <w:szCs w:val="21"/>
              </w:rPr>
              <w:t>Jinfeng,Zhangjiagang,Jiangsu</w:t>
            </w:r>
          </w:p>
        </w:tc>
        <w:tc>
          <w:tcPr>
            <w:tcW w:w="3012" w:type="dxa"/>
            <w:shd w:val="clear" w:color="auto" w:fill="auto"/>
            <w:vAlign w:val="center"/>
          </w:tcPr>
          <w:p w:rsidR="00840672" w:rsidRPr="007E5D20" w:rsidRDefault="00840672" w:rsidP="00F44B75">
            <w:pPr>
              <w:jc w:val="center"/>
              <w:rPr>
                <w:szCs w:val="21"/>
              </w:rPr>
            </w:pPr>
            <w:r w:rsidRPr="007E5D20">
              <w:rPr>
                <w:szCs w:val="21"/>
              </w:rPr>
              <w:t>Non-Benchmark</w:t>
            </w:r>
          </w:p>
        </w:tc>
        <w:tc>
          <w:tcPr>
            <w:tcW w:w="1973" w:type="dxa"/>
            <w:shd w:val="clear" w:color="auto" w:fill="auto"/>
            <w:vAlign w:val="center"/>
          </w:tcPr>
          <w:p w:rsidR="00840672" w:rsidRPr="007E5D20" w:rsidRDefault="00840672" w:rsidP="00F44B75">
            <w:pPr>
              <w:jc w:val="center"/>
              <w:rPr>
                <w:szCs w:val="21"/>
              </w:rPr>
            </w:pPr>
            <w:r w:rsidRPr="007E5D20">
              <w:rPr>
                <w:szCs w:val="21"/>
              </w:rPr>
              <w:t>Noticed Separately</w:t>
            </w:r>
          </w:p>
        </w:tc>
        <w:tc>
          <w:tcPr>
            <w:tcW w:w="1244" w:type="dxa"/>
            <w:shd w:val="clear" w:color="auto" w:fill="auto"/>
            <w:vAlign w:val="center"/>
          </w:tcPr>
          <w:p w:rsidR="00840672" w:rsidRPr="007E5D20" w:rsidRDefault="00840672" w:rsidP="00F44B75">
            <w:pPr>
              <w:jc w:val="center"/>
              <w:rPr>
                <w:szCs w:val="21"/>
              </w:rPr>
            </w:pPr>
            <w:r w:rsidRPr="007E5D20">
              <w:rPr>
                <w:rFonts w:hint="eastAsia"/>
                <w:szCs w:val="21"/>
              </w:rPr>
              <w:t>-</w:t>
            </w:r>
          </w:p>
        </w:tc>
        <w:tc>
          <w:tcPr>
            <w:tcW w:w="1149" w:type="dxa"/>
            <w:shd w:val="clear" w:color="auto" w:fill="auto"/>
            <w:vAlign w:val="center"/>
          </w:tcPr>
          <w:p w:rsidR="00840672" w:rsidRPr="007E5D20" w:rsidRDefault="00840672" w:rsidP="00F44B75">
            <w:pPr>
              <w:jc w:val="center"/>
              <w:rPr>
                <w:szCs w:val="21"/>
              </w:rPr>
            </w:pPr>
            <w:r w:rsidRPr="007E5D20">
              <w:rPr>
                <w:rFonts w:hint="eastAsia"/>
                <w:szCs w:val="21"/>
              </w:rPr>
              <w:t>10000</w:t>
            </w:r>
          </w:p>
        </w:tc>
        <w:tc>
          <w:tcPr>
            <w:tcW w:w="1046" w:type="dxa"/>
            <w:shd w:val="clear" w:color="auto" w:fill="auto"/>
            <w:vAlign w:val="center"/>
          </w:tcPr>
          <w:p w:rsidR="00840672" w:rsidRPr="007E5D20" w:rsidRDefault="00840672" w:rsidP="00F44B75">
            <w:pPr>
              <w:jc w:val="center"/>
              <w:rPr>
                <w:szCs w:val="21"/>
              </w:rPr>
            </w:pPr>
            <w:r w:rsidRPr="007E5D20">
              <w:rPr>
                <w:rFonts w:hint="eastAsia"/>
                <w:szCs w:val="21"/>
              </w:rPr>
              <w:t>7</w:t>
            </w:r>
          </w:p>
        </w:tc>
      </w:tr>
      <w:tr w:rsidR="00840672" w:rsidRPr="007E5D20" w:rsidTr="00F44B75">
        <w:tc>
          <w:tcPr>
            <w:tcW w:w="1308" w:type="dxa"/>
            <w:vMerge w:val="restart"/>
            <w:shd w:val="clear" w:color="auto" w:fill="auto"/>
            <w:vAlign w:val="center"/>
          </w:tcPr>
          <w:p w:rsidR="00840672" w:rsidRPr="007E5D20" w:rsidRDefault="00840672" w:rsidP="00F44B75">
            <w:pPr>
              <w:jc w:val="center"/>
              <w:rPr>
                <w:szCs w:val="21"/>
              </w:rPr>
            </w:pPr>
            <w:r w:rsidRPr="007E5D20">
              <w:rPr>
                <w:szCs w:val="21"/>
              </w:rPr>
              <w:t>Jingye Steel Co., Ltd.</w:t>
            </w:r>
          </w:p>
        </w:tc>
        <w:tc>
          <w:tcPr>
            <w:tcW w:w="1480" w:type="dxa"/>
            <w:shd w:val="clear" w:color="auto" w:fill="auto"/>
            <w:vAlign w:val="center"/>
          </w:tcPr>
          <w:p w:rsidR="00840672" w:rsidRPr="007E5D20" w:rsidRDefault="00840672" w:rsidP="00F44B75">
            <w:pPr>
              <w:jc w:val="center"/>
              <w:rPr>
                <w:szCs w:val="21"/>
              </w:rPr>
            </w:pPr>
            <w:r w:rsidRPr="007E5D20">
              <w:rPr>
                <w:szCs w:val="21"/>
              </w:rPr>
              <w:t>Zhenjiang Huilong Changjiang Port Services Co., Ltd.</w:t>
            </w:r>
          </w:p>
        </w:tc>
        <w:tc>
          <w:tcPr>
            <w:tcW w:w="2736" w:type="dxa"/>
            <w:shd w:val="clear" w:color="auto" w:fill="auto"/>
            <w:vAlign w:val="center"/>
          </w:tcPr>
          <w:p w:rsidR="00840672" w:rsidRPr="007E5D20" w:rsidRDefault="00840672" w:rsidP="00F44B75">
            <w:pPr>
              <w:jc w:val="center"/>
              <w:rPr>
                <w:szCs w:val="21"/>
              </w:rPr>
            </w:pPr>
            <w:r w:rsidRPr="007E5D20">
              <w:rPr>
                <w:szCs w:val="21"/>
              </w:rPr>
              <w:t>88 Jinqiao Avenue, Zhenjiang, Jiangsu</w:t>
            </w:r>
          </w:p>
        </w:tc>
        <w:tc>
          <w:tcPr>
            <w:tcW w:w="3012" w:type="dxa"/>
            <w:shd w:val="clear" w:color="auto" w:fill="auto"/>
            <w:vAlign w:val="center"/>
          </w:tcPr>
          <w:p w:rsidR="00840672" w:rsidRPr="007E5D20" w:rsidRDefault="00840672" w:rsidP="00F44B75">
            <w:pPr>
              <w:jc w:val="center"/>
              <w:rPr>
                <w:szCs w:val="21"/>
              </w:rPr>
            </w:pPr>
            <w:r w:rsidRPr="007E5D20">
              <w:rPr>
                <w:szCs w:val="21"/>
              </w:rPr>
              <w:t>Benchmark</w:t>
            </w:r>
          </w:p>
        </w:tc>
        <w:tc>
          <w:tcPr>
            <w:tcW w:w="1973" w:type="dxa"/>
            <w:shd w:val="clear" w:color="auto" w:fill="auto"/>
            <w:vAlign w:val="center"/>
          </w:tcPr>
          <w:p w:rsidR="00840672" w:rsidRPr="007E5D20" w:rsidRDefault="00840672" w:rsidP="00F44B75">
            <w:pPr>
              <w:jc w:val="center"/>
              <w:rPr>
                <w:szCs w:val="21"/>
              </w:rPr>
            </w:pPr>
            <w:r w:rsidRPr="007E5D20">
              <w:rPr>
                <w:rFonts w:hint="eastAsia"/>
                <w:szCs w:val="21"/>
              </w:rPr>
              <w:t>0</w:t>
            </w:r>
          </w:p>
        </w:tc>
        <w:tc>
          <w:tcPr>
            <w:tcW w:w="1244" w:type="dxa"/>
            <w:shd w:val="clear" w:color="auto" w:fill="auto"/>
            <w:vAlign w:val="center"/>
          </w:tcPr>
          <w:p w:rsidR="00840672" w:rsidRPr="007E5D20" w:rsidRDefault="00840672" w:rsidP="00F44B75">
            <w:pPr>
              <w:jc w:val="center"/>
              <w:rPr>
                <w:szCs w:val="21"/>
              </w:rPr>
            </w:pPr>
            <w:r w:rsidRPr="007E5D20">
              <w:rPr>
                <w:rFonts w:hint="eastAsia"/>
                <w:szCs w:val="21"/>
              </w:rPr>
              <w:t>3000</w:t>
            </w:r>
          </w:p>
        </w:tc>
        <w:tc>
          <w:tcPr>
            <w:tcW w:w="1149" w:type="dxa"/>
            <w:shd w:val="clear" w:color="auto" w:fill="auto"/>
            <w:vAlign w:val="center"/>
          </w:tcPr>
          <w:p w:rsidR="00840672" w:rsidRPr="007E5D20" w:rsidRDefault="00840672" w:rsidP="00F44B75">
            <w:pPr>
              <w:jc w:val="center"/>
              <w:rPr>
                <w:szCs w:val="21"/>
              </w:rPr>
            </w:pPr>
            <w:r w:rsidRPr="007E5D20">
              <w:rPr>
                <w:rFonts w:hint="eastAsia"/>
                <w:szCs w:val="21"/>
              </w:rPr>
              <w:t>1500</w:t>
            </w:r>
          </w:p>
        </w:tc>
        <w:tc>
          <w:tcPr>
            <w:tcW w:w="1046" w:type="dxa"/>
            <w:shd w:val="clear" w:color="auto" w:fill="auto"/>
            <w:vAlign w:val="center"/>
          </w:tcPr>
          <w:p w:rsidR="00840672" w:rsidRPr="007E5D20" w:rsidRDefault="00840672" w:rsidP="00F44B75">
            <w:pPr>
              <w:jc w:val="center"/>
              <w:rPr>
                <w:szCs w:val="21"/>
              </w:rPr>
            </w:pPr>
            <w:r w:rsidRPr="007E5D20">
              <w:rPr>
                <w:rFonts w:hint="eastAsia"/>
                <w:szCs w:val="21"/>
              </w:rPr>
              <w:t>25</w:t>
            </w:r>
          </w:p>
        </w:tc>
      </w:tr>
      <w:tr w:rsidR="00840672" w:rsidRPr="007E5D20" w:rsidTr="00F44B75">
        <w:tc>
          <w:tcPr>
            <w:tcW w:w="1308" w:type="dxa"/>
            <w:vMerge/>
            <w:shd w:val="clear" w:color="auto" w:fill="auto"/>
            <w:vAlign w:val="center"/>
          </w:tcPr>
          <w:p w:rsidR="00840672" w:rsidRPr="007E5D20" w:rsidRDefault="00840672" w:rsidP="00F44B75">
            <w:pPr>
              <w:jc w:val="center"/>
              <w:rPr>
                <w:szCs w:val="21"/>
              </w:rPr>
            </w:pPr>
          </w:p>
        </w:tc>
        <w:tc>
          <w:tcPr>
            <w:tcW w:w="1480" w:type="dxa"/>
            <w:shd w:val="clear" w:color="auto" w:fill="auto"/>
            <w:vAlign w:val="center"/>
          </w:tcPr>
          <w:p w:rsidR="00840672" w:rsidRPr="007E5D20" w:rsidRDefault="00840672" w:rsidP="00F44B75">
            <w:pPr>
              <w:jc w:val="center"/>
              <w:rPr>
                <w:szCs w:val="21"/>
              </w:rPr>
            </w:pPr>
            <w:r w:rsidRPr="007E5D20">
              <w:rPr>
                <w:szCs w:val="21"/>
              </w:rPr>
              <w:t>Zhejiang Kangyun Storage Co., Ltd.</w:t>
            </w:r>
          </w:p>
        </w:tc>
        <w:tc>
          <w:tcPr>
            <w:tcW w:w="2736" w:type="dxa"/>
            <w:shd w:val="clear" w:color="auto" w:fill="auto"/>
            <w:vAlign w:val="center"/>
          </w:tcPr>
          <w:p w:rsidR="00840672" w:rsidRPr="007E5D20" w:rsidRDefault="00840672" w:rsidP="00F44B75">
            <w:pPr>
              <w:jc w:val="center"/>
              <w:rPr>
                <w:szCs w:val="21"/>
              </w:rPr>
            </w:pPr>
            <w:r w:rsidRPr="007E5D20">
              <w:rPr>
                <w:szCs w:val="21"/>
              </w:rPr>
              <w:t>22-1 Changludou, Chongxian, Hangzhou, Zhejiang</w:t>
            </w:r>
          </w:p>
        </w:tc>
        <w:tc>
          <w:tcPr>
            <w:tcW w:w="3012" w:type="dxa"/>
            <w:shd w:val="clear" w:color="auto" w:fill="auto"/>
            <w:vAlign w:val="center"/>
          </w:tcPr>
          <w:p w:rsidR="00840672" w:rsidRPr="007E5D20" w:rsidRDefault="00840672" w:rsidP="00F44B75">
            <w:pPr>
              <w:jc w:val="center"/>
              <w:rPr>
                <w:szCs w:val="21"/>
              </w:rPr>
            </w:pPr>
            <w:r w:rsidRPr="007E5D20">
              <w:rPr>
                <w:szCs w:val="21"/>
              </w:rPr>
              <w:t>Non-Benchmark</w:t>
            </w:r>
          </w:p>
        </w:tc>
        <w:tc>
          <w:tcPr>
            <w:tcW w:w="1973" w:type="dxa"/>
            <w:shd w:val="clear" w:color="auto" w:fill="auto"/>
            <w:vAlign w:val="center"/>
          </w:tcPr>
          <w:p w:rsidR="00840672" w:rsidRPr="007E5D20" w:rsidRDefault="00840672" w:rsidP="00F44B75">
            <w:pPr>
              <w:jc w:val="center"/>
              <w:rPr>
                <w:szCs w:val="21"/>
              </w:rPr>
            </w:pPr>
            <w:r w:rsidRPr="007E5D20">
              <w:rPr>
                <w:szCs w:val="21"/>
              </w:rPr>
              <w:t>Noticed Separately</w:t>
            </w:r>
          </w:p>
        </w:tc>
        <w:tc>
          <w:tcPr>
            <w:tcW w:w="1244" w:type="dxa"/>
            <w:shd w:val="clear" w:color="auto" w:fill="auto"/>
            <w:vAlign w:val="center"/>
          </w:tcPr>
          <w:p w:rsidR="00840672" w:rsidRPr="007E5D20" w:rsidRDefault="00840672" w:rsidP="00F44B75">
            <w:pPr>
              <w:jc w:val="center"/>
              <w:rPr>
                <w:szCs w:val="21"/>
              </w:rPr>
            </w:pPr>
            <w:r w:rsidRPr="007E5D20">
              <w:rPr>
                <w:rFonts w:hint="eastAsia"/>
                <w:szCs w:val="21"/>
              </w:rPr>
              <w:t>3000</w:t>
            </w:r>
          </w:p>
        </w:tc>
        <w:tc>
          <w:tcPr>
            <w:tcW w:w="1149" w:type="dxa"/>
            <w:shd w:val="clear" w:color="auto" w:fill="auto"/>
            <w:vAlign w:val="center"/>
          </w:tcPr>
          <w:p w:rsidR="00840672" w:rsidRPr="007E5D20" w:rsidRDefault="00840672" w:rsidP="00F44B75">
            <w:pPr>
              <w:jc w:val="center"/>
              <w:rPr>
                <w:szCs w:val="21"/>
              </w:rPr>
            </w:pPr>
            <w:r w:rsidRPr="007E5D20">
              <w:rPr>
                <w:rFonts w:hint="eastAsia"/>
                <w:szCs w:val="21"/>
              </w:rPr>
              <w:t>1500</w:t>
            </w:r>
          </w:p>
        </w:tc>
        <w:tc>
          <w:tcPr>
            <w:tcW w:w="1046" w:type="dxa"/>
            <w:shd w:val="clear" w:color="auto" w:fill="auto"/>
            <w:vAlign w:val="center"/>
          </w:tcPr>
          <w:p w:rsidR="00840672" w:rsidRPr="007E5D20" w:rsidRDefault="00840672" w:rsidP="00F44B75">
            <w:pPr>
              <w:jc w:val="center"/>
              <w:rPr>
                <w:szCs w:val="21"/>
              </w:rPr>
            </w:pPr>
            <w:r w:rsidRPr="007E5D20">
              <w:rPr>
                <w:rFonts w:hint="eastAsia"/>
                <w:szCs w:val="21"/>
              </w:rPr>
              <w:t>25</w:t>
            </w:r>
          </w:p>
        </w:tc>
      </w:tr>
      <w:tr w:rsidR="00840672" w:rsidRPr="007E5D20" w:rsidTr="00F44B75">
        <w:tc>
          <w:tcPr>
            <w:tcW w:w="1308" w:type="dxa"/>
            <w:vMerge/>
            <w:shd w:val="clear" w:color="auto" w:fill="auto"/>
            <w:vAlign w:val="center"/>
          </w:tcPr>
          <w:p w:rsidR="00840672" w:rsidRPr="007E5D20" w:rsidRDefault="00840672" w:rsidP="00F44B75">
            <w:pPr>
              <w:jc w:val="center"/>
              <w:rPr>
                <w:szCs w:val="21"/>
              </w:rPr>
            </w:pPr>
          </w:p>
        </w:tc>
        <w:tc>
          <w:tcPr>
            <w:tcW w:w="1480" w:type="dxa"/>
            <w:shd w:val="clear" w:color="auto" w:fill="auto"/>
            <w:vAlign w:val="center"/>
          </w:tcPr>
          <w:p w:rsidR="00840672" w:rsidRPr="007E5D20" w:rsidRDefault="00840672" w:rsidP="00F44B75">
            <w:pPr>
              <w:jc w:val="center"/>
              <w:rPr>
                <w:szCs w:val="21"/>
              </w:rPr>
            </w:pPr>
            <w:r w:rsidRPr="007E5D20">
              <w:rPr>
                <w:szCs w:val="21"/>
              </w:rPr>
              <w:t>Jingye Steel Co., Ltd.</w:t>
            </w:r>
          </w:p>
        </w:tc>
        <w:tc>
          <w:tcPr>
            <w:tcW w:w="2736" w:type="dxa"/>
            <w:shd w:val="clear" w:color="auto" w:fill="auto"/>
            <w:vAlign w:val="center"/>
          </w:tcPr>
          <w:p w:rsidR="00840672" w:rsidRPr="007E5D20" w:rsidRDefault="00840672" w:rsidP="00F44B75">
            <w:pPr>
              <w:jc w:val="center"/>
              <w:rPr>
                <w:szCs w:val="21"/>
              </w:rPr>
            </w:pPr>
            <w:r w:rsidRPr="007E5D20">
              <w:rPr>
                <w:rFonts w:hint="eastAsia"/>
                <w:szCs w:val="21"/>
              </w:rPr>
              <w:t>Nandian town,Pingshan County,Shijiazhuang,Hubei</w:t>
            </w:r>
          </w:p>
        </w:tc>
        <w:tc>
          <w:tcPr>
            <w:tcW w:w="3012" w:type="dxa"/>
            <w:shd w:val="clear" w:color="auto" w:fill="auto"/>
            <w:vAlign w:val="center"/>
          </w:tcPr>
          <w:p w:rsidR="00840672" w:rsidRPr="007E5D20" w:rsidRDefault="00840672" w:rsidP="00F44B75">
            <w:pPr>
              <w:jc w:val="center"/>
              <w:rPr>
                <w:szCs w:val="21"/>
              </w:rPr>
            </w:pPr>
            <w:r w:rsidRPr="007E5D20">
              <w:rPr>
                <w:szCs w:val="21"/>
              </w:rPr>
              <w:t>Non-Benchmark</w:t>
            </w:r>
          </w:p>
        </w:tc>
        <w:tc>
          <w:tcPr>
            <w:tcW w:w="1973" w:type="dxa"/>
            <w:shd w:val="clear" w:color="auto" w:fill="auto"/>
            <w:vAlign w:val="center"/>
          </w:tcPr>
          <w:p w:rsidR="00840672" w:rsidRPr="007E5D20" w:rsidRDefault="00840672" w:rsidP="00F44B75">
            <w:pPr>
              <w:jc w:val="center"/>
              <w:rPr>
                <w:szCs w:val="21"/>
              </w:rPr>
            </w:pPr>
            <w:r w:rsidRPr="007E5D20">
              <w:rPr>
                <w:szCs w:val="21"/>
              </w:rPr>
              <w:t>Noticed Separately</w:t>
            </w:r>
          </w:p>
        </w:tc>
        <w:tc>
          <w:tcPr>
            <w:tcW w:w="1244" w:type="dxa"/>
            <w:shd w:val="clear" w:color="auto" w:fill="auto"/>
            <w:vAlign w:val="center"/>
          </w:tcPr>
          <w:p w:rsidR="00840672" w:rsidRPr="007E5D20" w:rsidRDefault="00840672" w:rsidP="00F44B75">
            <w:pPr>
              <w:jc w:val="center"/>
              <w:rPr>
                <w:szCs w:val="21"/>
              </w:rPr>
            </w:pPr>
            <w:r w:rsidRPr="007E5D20">
              <w:rPr>
                <w:szCs w:val="21"/>
              </w:rPr>
              <w:t>-</w:t>
            </w:r>
          </w:p>
        </w:tc>
        <w:tc>
          <w:tcPr>
            <w:tcW w:w="1149" w:type="dxa"/>
            <w:shd w:val="clear" w:color="auto" w:fill="auto"/>
            <w:vAlign w:val="center"/>
          </w:tcPr>
          <w:p w:rsidR="00840672" w:rsidRPr="007E5D20" w:rsidRDefault="00840672" w:rsidP="00F44B75">
            <w:pPr>
              <w:jc w:val="center"/>
              <w:rPr>
                <w:szCs w:val="21"/>
              </w:rPr>
            </w:pPr>
            <w:r w:rsidRPr="007E5D20">
              <w:rPr>
                <w:rFonts w:hint="eastAsia"/>
                <w:szCs w:val="21"/>
              </w:rPr>
              <w:t>1500</w:t>
            </w:r>
          </w:p>
        </w:tc>
        <w:tc>
          <w:tcPr>
            <w:tcW w:w="1046" w:type="dxa"/>
            <w:shd w:val="clear" w:color="auto" w:fill="auto"/>
            <w:vAlign w:val="center"/>
          </w:tcPr>
          <w:p w:rsidR="00840672" w:rsidRPr="007E5D20" w:rsidRDefault="00840672" w:rsidP="00F44B75">
            <w:pPr>
              <w:jc w:val="center"/>
              <w:rPr>
                <w:szCs w:val="21"/>
              </w:rPr>
            </w:pPr>
            <w:r w:rsidRPr="007E5D20">
              <w:rPr>
                <w:szCs w:val="21"/>
              </w:rPr>
              <w:t>7</w:t>
            </w:r>
          </w:p>
        </w:tc>
      </w:tr>
    </w:tbl>
    <w:p w:rsidR="00840672" w:rsidRDefault="00840672" w:rsidP="00840672">
      <w:pPr>
        <w:rPr>
          <w:sz w:val="22"/>
        </w:rPr>
      </w:pPr>
    </w:p>
    <w:p w:rsidR="00840672" w:rsidRDefault="00840672" w:rsidP="00840672">
      <w:pPr>
        <w:widowControl/>
        <w:jc w:val="left"/>
        <w:rPr>
          <w:sz w:val="22"/>
        </w:rPr>
      </w:pPr>
      <w:r>
        <w:rPr>
          <w:sz w:val="22"/>
        </w:rPr>
        <w:br w:type="page"/>
      </w:r>
    </w:p>
    <w:p w:rsidR="00840672" w:rsidRPr="00C11CB3" w:rsidRDefault="00840672" w:rsidP="00840672">
      <w:pPr>
        <w:spacing w:line="360" w:lineRule="auto"/>
        <w:rPr>
          <w:sz w:val="22"/>
        </w:rPr>
      </w:pPr>
      <w:r w:rsidRPr="00C11CB3">
        <w:rPr>
          <w:sz w:val="22"/>
        </w:rPr>
        <w:lastRenderedPageBreak/>
        <w:t>Note:</w:t>
      </w:r>
    </w:p>
    <w:p w:rsidR="00840672" w:rsidRDefault="00840672" w:rsidP="00840672">
      <w:pPr>
        <w:spacing w:line="360" w:lineRule="auto"/>
      </w:pPr>
      <w:r w:rsidRPr="00C11CB3">
        <w:t>1. The Minimum Pickup Quantity refers to the minimum quantity in the delivery application. If the delivery application does not meet the minimum pickup quantity requirements, it shall be agreed by the factory</w:t>
      </w:r>
      <w:r>
        <w:t xml:space="preserve"> </w:t>
      </w:r>
      <w:r w:rsidRPr="00C11CB3">
        <w:t>and regarded as the negotiated delivery metho</w:t>
      </w:r>
      <w:r>
        <w:t>d.</w:t>
      </w:r>
    </w:p>
    <w:p w:rsidR="00840672" w:rsidRPr="00C11CB3" w:rsidRDefault="00840672" w:rsidP="00840672">
      <w:pPr>
        <w:spacing w:line="360" w:lineRule="auto"/>
      </w:pPr>
      <w:r w:rsidRPr="00C11CB3">
        <w:t>2. When the owner submits the delivery application Days Prior to Taking Delivery refers to the shortest gap of days(including the application date but excluding the intended taking delivery date) between the application date and the intended taking delivery date (the earliest delivery date of the delivery plan). Days Prior to Taking Delivery shall be working days.</w:t>
      </w:r>
    </w:p>
    <w:p w:rsidR="0071042D" w:rsidRPr="00840672" w:rsidRDefault="00840672" w:rsidP="00840672">
      <w:pPr>
        <w:spacing w:line="360" w:lineRule="auto"/>
        <w:rPr>
          <w:rFonts w:hint="eastAsia"/>
        </w:rPr>
      </w:pPr>
      <w:r w:rsidRPr="00C11CB3">
        <w:t>3. The Premiums and Discounts for non-benchm</w:t>
      </w:r>
      <w:r>
        <w:t>ark</w:t>
      </w:r>
      <w:r w:rsidRPr="00C11CB3">
        <w:t xml:space="preserve"> delivery locations are determined by the factory and can be adjusted, details are published at the SHFE website.</w:t>
      </w:r>
      <w:bookmarkStart w:id="0" w:name="_GoBack"/>
      <w:bookmarkEnd w:id="0"/>
    </w:p>
    <w:sectPr w:rsidR="0071042D" w:rsidRPr="00840672" w:rsidSect="00840672">
      <w:pgSz w:w="16838" w:h="11906" w:orient="landscape"/>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672"/>
    <w:rsid w:val="0071042D"/>
    <w:rsid w:val="00840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E6264-8F23-4D2D-9BA3-AE714340D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371</Words>
  <Characters>2116</Characters>
  <Application>Microsoft Office Word</Application>
  <DocSecurity>0</DocSecurity>
  <Lines>17</Lines>
  <Paragraphs>4</Paragraphs>
  <ScaleCrop>false</ScaleCrop>
  <Company>SHFE</Company>
  <LinksUpToDate>false</LinksUpToDate>
  <CharactersWithSpaces>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朱凤侠</dc:creator>
  <cp:keywords/>
  <dc:description/>
  <cp:lastModifiedBy>朱凤侠</cp:lastModifiedBy>
  <cp:revision>1</cp:revision>
  <dcterms:created xsi:type="dcterms:W3CDTF">2020-08-18T07:46:00Z</dcterms:created>
  <dcterms:modified xsi:type="dcterms:W3CDTF">2020-08-18T07:48:00Z</dcterms:modified>
</cp:coreProperties>
</file>