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1F" w:rsidRPr="00DA2504" w:rsidRDefault="00FF171F" w:rsidP="00FF171F">
      <w:pPr>
        <w:keepNext/>
        <w:keepLines/>
        <w:spacing w:before="340" w:after="330"/>
        <w:outlineLvl w:val="0"/>
        <w:rPr>
          <w:rFonts w:eastAsia="方正仿宋简体"/>
          <w:sz w:val="30"/>
          <w:szCs w:val="30"/>
          <w:lang w:eastAsia="en-US"/>
        </w:rPr>
      </w:pPr>
      <w:r w:rsidRPr="00DA2504">
        <w:rPr>
          <w:sz w:val="30"/>
          <w:szCs w:val="30"/>
          <w:lang w:eastAsia="en-US"/>
        </w:rPr>
        <w:t xml:space="preserve">Appendix </w:t>
      </w:r>
      <w:r w:rsidRPr="00DA2504">
        <w:rPr>
          <w:sz w:val="30"/>
          <w:szCs w:val="30"/>
        </w:rPr>
        <w:t>2</w:t>
      </w: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t>SHFE Gold Futures Contract</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Product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Gold</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Size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1,000 grams/lot</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Price Quotation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(RMB)/gram</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Price Fluctuation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0.02 yuan/gram</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Listed Contracts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3 months and bimonthly contract for the most recent 13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Trading Hours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Last Trading Day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Period </w:t>
            </w:r>
          </w:p>
        </w:tc>
        <w:tc>
          <w:tcPr>
            <w:tcW w:w="5953"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The first business day after the last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53"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Domestic gold ingots with gold content not less than 99.95% and standard gold ingots produced by a supplier or refiner certified by the London Bullion Market Association (LBMA) and recognized by the Exchange (refer to the Annex for detailed quality standards).</w:t>
            </w:r>
          </w:p>
        </w:tc>
      </w:tr>
      <w:tr w:rsidR="00FF171F" w:rsidRPr="00DA2504" w:rsidTr="00F44B75">
        <w:trPr>
          <w:trHeight w:val="495"/>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Venue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gold delivery warehouses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Trade Margin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4% of contract value</w:t>
            </w:r>
          </w:p>
        </w:tc>
      </w:tr>
      <w:tr w:rsidR="00FF171F" w:rsidRPr="00DA2504" w:rsidTr="00F44B75">
        <w:trPr>
          <w:trHeight w:val="537"/>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Settlement Type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537"/>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Unit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3,000 grams</w:t>
            </w:r>
          </w:p>
        </w:tc>
      </w:tr>
      <w:tr w:rsidR="00FF171F" w:rsidRPr="00DA2504" w:rsidTr="00F44B75">
        <w:trPr>
          <w:trHeight w:val="559"/>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Symbol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AU</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Listing Exchange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rFonts w:eastAsia="黑体"/>
          <w:bCs/>
          <w:color w:val="000000"/>
          <w:sz w:val="22"/>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t>SHFE Copper Cathode Futures Contract</w:t>
      </w:r>
    </w:p>
    <w:p w:rsidR="00FF171F" w:rsidRPr="00DA2504" w:rsidRDefault="00FF171F" w:rsidP="00FF171F">
      <w:pPr>
        <w:spacing w:afterLines="50" w:after="156" w:line="276" w:lineRule="auto"/>
        <w:jc w:val="center"/>
        <w:rPr>
          <w:b/>
          <w:color w:val="000000"/>
          <w:sz w:val="24"/>
          <w:szCs w:val="28"/>
          <w:lang w:eastAsia="en-US"/>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89"/>
      </w:tblGrid>
      <w:tr w:rsidR="00FF171F" w:rsidRPr="00DA2504" w:rsidTr="00F44B75">
        <w:trPr>
          <w:trHeight w:val="444"/>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Copper Cathode</w:t>
            </w:r>
          </w:p>
        </w:tc>
      </w:tr>
      <w:tr w:rsidR="00FF171F" w:rsidRPr="00DA2504" w:rsidTr="00F44B75">
        <w:trPr>
          <w:trHeight w:val="421"/>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metric tons/lot</w:t>
            </w:r>
          </w:p>
        </w:tc>
      </w:tr>
      <w:tr w:rsidR="00FF171F" w:rsidRPr="00DA2504" w:rsidTr="00F44B75">
        <w:trPr>
          <w:trHeight w:val="420"/>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Yuan/metric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Range of Price Limit</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578"/>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471"/>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989"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3131"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89"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#1 Standard copper (Cu-CATH-2) as prescribed in the National Standard GB/T 467-2010, with total copper and silver content not less than 99.95%.</w:t>
            </w:r>
          </w:p>
        </w:tc>
      </w:tr>
      <w:tr w:rsidR="00FF171F" w:rsidRPr="00DA2504" w:rsidTr="00F44B75">
        <w:trPr>
          <w:trHeight w:val="636"/>
          <w:jc w:val="center"/>
        </w:trPr>
        <w:tc>
          <w:tcPr>
            <w:tcW w:w="3131" w:type="dxa"/>
            <w:vMerge/>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89"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Grade A copper (Cu-CATH-1) as prescribed in National Standard GB/T 467-2010; or Grade A copper (Cu-CATH-1) as prescribed in BS EN 1978:1998.</w:t>
            </w:r>
          </w:p>
        </w:tc>
      </w:tr>
      <w:tr w:rsidR="00FF171F" w:rsidRPr="00DA2504" w:rsidTr="00F44B75">
        <w:trPr>
          <w:trHeight w:val="539"/>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547"/>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41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56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Unit</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25 metric tons</w:t>
            </w:r>
          </w:p>
        </w:tc>
      </w:tr>
      <w:tr w:rsidR="00FF171F" w:rsidRPr="00DA2504" w:rsidTr="00F44B75">
        <w:trPr>
          <w:trHeight w:val="54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CU</w:t>
            </w:r>
          </w:p>
        </w:tc>
      </w:tr>
      <w:tr w:rsidR="00FF171F" w:rsidRPr="00DA2504" w:rsidTr="00F44B75">
        <w:trPr>
          <w:trHeight w:val="70"/>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598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50" w:after="156" w:line="276" w:lineRule="auto"/>
        <w:jc w:val="center"/>
        <w:rPr>
          <w:b/>
          <w:bCs/>
          <w:color w:val="000000"/>
          <w:sz w:val="24"/>
          <w:lang w:eastAsia="en-US"/>
        </w:rPr>
      </w:pPr>
      <w:r w:rsidRPr="00DA2504">
        <w:rPr>
          <w:b/>
          <w:color w:val="000000"/>
          <w:sz w:val="22"/>
          <w:szCs w:val="22"/>
          <w:lang w:eastAsia="en-US"/>
        </w:rPr>
        <w:br w:type="page"/>
      </w:r>
      <w:r w:rsidRPr="00DA2504">
        <w:rPr>
          <w:b/>
          <w:bCs/>
          <w:color w:val="000000"/>
          <w:sz w:val="24"/>
          <w:lang w:eastAsia="en-US"/>
        </w:rPr>
        <w:lastRenderedPageBreak/>
        <w:t>SHFE Aluminum Futures Contract</w:t>
      </w:r>
    </w:p>
    <w:p w:rsidR="00FF171F" w:rsidRPr="00DA2504" w:rsidRDefault="00FF171F" w:rsidP="00FF171F">
      <w:pPr>
        <w:spacing w:afterLines="50" w:after="156" w:line="276" w:lineRule="auto"/>
        <w:jc w:val="center"/>
        <w:rPr>
          <w:b/>
          <w:bCs/>
          <w:color w:val="000000"/>
          <w:sz w:val="24"/>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Aluminum</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metric tons/lot</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Yuan/metric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47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953"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3131"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53"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AL99.70 aluminum ingots as prescribed in National Standard GB/T 1196-2008, with aluminum content not less than 99.70%.</w:t>
            </w:r>
          </w:p>
        </w:tc>
      </w:tr>
      <w:tr w:rsidR="00FF171F" w:rsidRPr="00DA2504" w:rsidTr="00F44B75">
        <w:trPr>
          <w:trHeight w:val="636"/>
          <w:jc w:val="center"/>
        </w:trPr>
        <w:tc>
          <w:tcPr>
            <w:tcW w:w="3131" w:type="dxa"/>
            <w:vMerge/>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53"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1. AL99.85 and AL99.90 aluminum ingots as prescribed in National Standard GB/T 1196-2008. 2. P1020A aluminum ingots.</w:t>
            </w:r>
          </w:p>
        </w:tc>
      </w:tr>
      <w:tr w:rsidR="00FF171F" w:rsidRPr="00DA2504" w:rsidTr="00F44B75">
        <w:trPr>
          <w:trHeight w:val="480"/>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558"/>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574"/>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574"/>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Unit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25 metric tons</w:t>
            </w:r>
          </w:p>
        </w:tc>
      </w:tr>
      <w:tr w:rsidR="00FF171F" w:rsidRPr="00DA2504" w:rsidTr="00F44B75">
        <w:trPr>
          <w:trHeight w:val="554"/>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AL</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center"/>
        <w:outlineLvl w:val="0"/>
        <w:rPr>
          <w:b/>
          <w:color w:val="000000"/>
          <w:sz w:val="24"/>
          <w:szCs w:val="28"/>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Zinc Futures Contract</w:t>
      </w:r>
    </w:p>
    <w:p w:rsidR="00FF171F" w:rsidRPr="00DA2504" w:rsidRDefault="00FF171F" w:rsidP="00FF171F">
      <w:pPr>
        <w:spacing w:afterLines="50" w:after="156" w:line="276" w:lineRule="auto"/>
        <w:jc w:val="center"/>
        <w:rPr>
          <w:b/>
          <w:color w:val="000000"/>
          <w:sz w:val="24"/>
          <w:szCs w:val="28"/>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Zinc</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metric tons/lot</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Yuan/metric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4% of the settlement price of the preceding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47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953"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3131" w:type="dxa"/>
            <w:vMerge w:val="restart"/>
            <w:tcBorders>
              <w:right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53" w:type="dxa"/>
            <w:tcBorders>
              <w:top w:val="single" w:sz="4" w:space="0" w:color="auto"/>
              <w:left w:val="single" w:sz="4" w:space="0" w:color="auto"/>
              <w:bottom w:val="nil"/>
              <w:right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ZN99.995 zinc ingots as prescribed in National Standard GB/T 470-2008, with zinc content not less than 99.995%.</w:t>
            </w:r>
          </w:p>
        </w:tc>
      </w:tr>
      <w:tr w:rsidR="00FF171F" w:rsidRPr="00DA2504" w:rsidTr="00F44B75">
        <w:trPr>
          <w:trHeight w:val="636"/>
          <w:jc w:val="center"/>
        </w:trPr>
        <w:tc>
          <w:tcPr>
            <w:tcW w:w="3131" w:type="dxa"/>
            <w:vMerge/>
            <w:tcBorders>
              <w:right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Z1 zinc ingots as prescribed in BS EN 1179:2003, with zinc content not less than 99.995%.</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5953" w:type="dxa"/>
            <w:tcBorders>
              <w:top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462"/>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462"/>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Delivery Unit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25 metric tons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ZN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rFonts w:eastAsia="方正大标宋简体"/>
          <w:color w:val="000000"/>
          <w:sz w:val="22"/>
          <w:szCs w:val="22"/>
          <w:lang w:eastAsia="en-US"/>
        </w:rPr>
      </w:pPr>
    </w:p>
    <w:p w:rsidR="00FF171F" w:rsidRPr="00DA2504" w:rsidRDefault="00FF171F" w:rsidP="00FF171F">
      <w:pPr>
        <w:snapToGrid w:val="0"/>
        <w:spacing w:afterLines="100" w:after="312" w:line="276" w:lineRule="auto"/>
        <w:rPr>
          <w:color w:val="000000"/>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Lead Futures Contract</w:t>
      </w:r>
    </w:p>
    <w:p w:rsidR="00FF171F" w:rsidRPr="00DA2504" w:rsidRDefault="00FF171F" w:rsidP="00FF171F">
      <w:pPr>
        <w:spacing w:afterLines="50" w:after="156" w:line="276" w:lineRule="auto"/>
        <w:jc w:val="center"/>
        <w:rPr>
          <w:b/>
          <w:color w:val="000000"/>
          <w:sz w:val="24"/>
          <w:szCs w:val="28"/>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Lead</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metric tons/lot</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Yuan/metric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4% of the settlement price of the preceding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Pb99.994 lead ingots as prescribed in National Standard GB/T 469-2013, with lead content not less than 99.994%.</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Delivery Unit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25 metric tons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PB</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b/>
          <w:color w:val="000000"/>
          <w:sz w:val="22"/>
          <w:szCs w:val="22"/>
          <w:lang w:eastAsia="en-US"/>
        </w:rPr>
      </w:pPr>
    </w:p>
    <w:p w:rsidR="00FF171F" w:rsidRPr="00DA2504" w:rsidRDefault="00FF171F" w:rsidP="00FF171F">
      <w:pPr>
        <w:snapToGrid w:val="0"/>
        <w:spacing w:afterLines="100" w:after="312" w:line="276" w:lineRule="auto"/>
        <w:rPr>
          <w:color w:val="000000"/>
          <w:szCs w:val="22"/>
          <w:lang w:eastAsia="en-US"/>
        </w:rPr>
      </w:pPr>
      <w:r w:rsidRPr="00DA2504">
        <w:rPr>
          <w:color w:val="000000"/>
          <w:szCs w:val="22"/>
          <w:lang w:eastAsia="en-US"/>
        </w:rPr>
        <w:t xml:space="preserve"> </w:t>
      </w: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Nickel Futures Contract</w:t>
      </w:r>
    </w:p>
    <w:p w:rsidR="00FF171F" w:rsidRPr="00DA2504" w:rsidRDefault="00FF171F" w:rsidP="00FF171F">
      <w:pPr>
        <w:spacing w:afterLines="50" w:after="156" w:line="276" w:lineRule="auto"/>
        <w:jc w:val="center"/>
        <w:rPr>
          <w:b/>
          <w:color w:val="000000"/>
          <w:sz w:val="24"/>
          <w:szCs w:val="28"/>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588"/>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Nickel</w:t>
            </w:r>
          </w:p>
        </w:tc>
      </w:tr>
      <w:tr w:rsidR="00FF171F" w:rsidRPr="00DA2504" w:rsidTr="00F44B75">
        <w:trPr>
          <w:trHeight w:val="554"/>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 metric tons/lot</w:t>
            </w:r>
          </w:p>
        </w:tc>
      </w:tr>
      <w:tr w:rsidR="00FF171F" w:rsidRPr="00DA2504" w:rsidTr="00F44B75">
        <w:trPr>
          <w:trHeight w:val="405"/>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42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Yuan/metric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4% of the settlement price of the preceding trading day</w:t>
            </w:r>
          </w:p>
        </w:tc>
      </w:tr>
      <w:tr w:rsidR="00FF171F" w:rsidRPr="00DA2504" w:rsidTr="00F44B75">
        <w:trPr>
          <w:trHeight w:val="484"/>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491"/>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953"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3131"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53"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Ni9996 electrolytic nickel as prescribed in National Standard GB/T 6516-2010, with total nickel and cobalt content not less than 99.96%.</w:t>
            </w:r>
          </w:p>
        </w:tc>
      </w:tr>
      <w:tr w:rsidR="00FF171F" w:rsidRPr="00DA2504" w:rsidTr="00F44B75">
        <w:trPr>
          <w:trHeight w:val="636"/>
          <w:jc w:val="center"/>
        </w:trPr>
        <w:tc>
          <w:tcPr>
            <w:tcW w:w="3131" w:type="dxa"/>
            <w:vMerge/>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53"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Ni9999 electrolytic nickel as prescribed in National Standard GB/T 6516-2010, with total nickel and cobalt content not less than 99.99%; or nickel conforming to ASTM B39-79 (2013), with nickel content not less than 99.8%.</w:t>
            </w:r>
          </w:p>
        </w:tc>
      </w:tr>
      <w:tr w:rsidR="00FF171F" w:rsidRPr="00DA2504" w:rsidTr="00F44B75">
        <w:trPr>
          <w:trHeight w:val="431"/>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41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48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483"/>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Delivery Unit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6 metric tons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NI</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center"/>
        <w:rPr>
          <w:b/>
          <w:color w:val="000000"/>
          <w:sz w:val="22"/>
          <w:szCs w:val="22"/>
          <w:lang w:eastAsia="en-US"/>
        </w:rPr>
      </w:pPr>
    </w:p>
    <w:p w:rsidR="00FF171F" w:rsidRPr="00DA2504" w:rsidRDefault="00FF171F" w:rsidP="00FF171F">
      <w:pPr>
        <w:snapToGrid w:val="0"/>
        <w:spacing w:afterLines="100" w:after="312" w:line="276" w:lineRule="auto"/>
        <w:rPr>
          <w:color w:val="000000"/>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Tin Futures Contract</w:t>
      </w:r>
    </w:p>
    <w:p w:rsidR="00FF171F" w:rsidRPr="00DA2504" w:rsidRDefault="00FF171F" w:rsidP="00FF171F">
      <w:pPr>
        <w:spacing w:afterLines="50" w:after="156" w:line="276" w:lineRule="auto"/>
        <w:jc w:val="center"/>
        <w:rPr>
          <w:b/>
          <w:color w:val="000000"/>
          <w:sz w:val="24"/>
          <w:szCs w:val="28"/>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5963"/>
      </w:tblGrid>
      <w:tr w:rsidR="00FF171F" w:rsidRPr="00DA2504" w:rsidTr="00F44B75">
        <w:trPr>
          <w:trHeight w:val="447"/>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Tin</w:t>
            </w:r>
          </w:p>
        </w:tc>
      </w:tr>
      <w:tr w:rsidR="00FF171F" w:rsidRPr="00DA2504" w:rsidTr="00F44B75">
        <w:trPr>
          <w:trHeight w:val="412"/>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 metric tons/lot</w:t>
            </w:r>
          </w:p>
        </w:tc>
      </w:tr>
      <w:tr w:rsidR="00FF171F" w:rsidRPr="00DA2504" w:rsidTr="00F44B75">
        <w:trPr>
          <w:trHeight w:val="419"/>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413"/>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Yuan/metric ton</w:t>
            </w:r>
          </w:p>
        </w:tc>
      </w:tr>
      <w:tr w:rsidR="00FF171F" w:rsidRPr="00DA2504" w:rsidTr="00F44B75">
        <w:trPr>
          <w:trHeight w:val="609"/>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4% of the settlement price of the preceding trading day</w:t>
            </w:r>
          </w:p>
        </w:tc>
      </w:tr>
      <w:tr w:rsidR="00FF171F" w:rsidRPr="00DA2504" w:rsidTr="00F44B75">
        <w:trPr>
          <w:trHeight w:val="461"/>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09"/>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09"/>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421"/>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963"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09"/>
          <w:jc w:val="center"/>
        </w:trPr>
        <w:tc>
          <w:tcPr>
            <w:tcW w:w="3109"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63"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Sn99.90A tin ingots as prescribed in National Standard GB/T 728-2010, with tin content not less than 99.90%.</w:t>
            </w:r>
          </w:p>
        </w:tc>
      </w:tr>
      <w:tr w:rsidR="00FF171F" w:rsidRPr="00DA2504" w:rsidTr="00F44B75">
        <w:trPr>
          <w:trHeight w:val="609"/>
          <w:jc w:val="center"/>
        </w:trPr>
        <w:tc>
          <w:tcPr>
            <w:tcW w:w="3109" w:type="dxa"/>
            <w:vMerge/>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63"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Sn99.90AA tin ingots as prescribed in National Standard GB/T 728-2010, with tin content not less than 99.90%; or Sn99.95A and Sn99.95AA tin ingots, with tin content not less than 99.95%; or Sn99.99A tin ingots, with tin content not less than 99.99%.</w:t>
            </w:r>
          </w:p>
        </w:tc>
      </w:tr>
      <w:tr w:rsidR="00FF171F" w:rsidRPr="00DA2504" w:rsidTr="00F44B75">
        <w:trPr>
          <w:trHeight w:val="538"/>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546"/>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506"/>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506"/>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Delivery Unit</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2 metric tons</w:t>
            </w:r>
          </w:p>
        </w:tc>
      </w:tr>
      <w:tr w:rsidR="00FF171F" w:rsidRPr="00DA2504" w:rsidTr="00F44B75">
        <w:trPr>
          <w:trHeight w:val="428"/>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SN</w:t>
            </w:r>
          </w:p>
        </w:tc>
      </w:tr>
      <w:tr w:rsidR="00FF171F" w:rsidRPr="00DA2504" w:rsidTr="00F44B75">
        <w:trPr>
          <w:trHeight w:val="609"/>
          <w:jc w:val="center"/>
        </w:trPr>
        <w:tc>
          <w:tcPr>
            <w:tcW w:w="310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596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color w:val="000000"/>
          <w:sz w:val="22"/>
          <w:szCs w:val="22"/>
          <w:lang w:eastAsia="en-US"/>
        </w:rPr>
      </w:pPr>
    </w:p>
    <w:p w:rsidR="00FF171F" w:rsidRPr="00DA2504" w:rsidRDefault="00FF171F" w:rsidP="00FF171F">
      <w:pPr>
        <w:snapToGrid w:val="0"/>
        <w:spacing w:afterLines="100" w:after="312" w:line="276" w:lineRule="auto"/>
        <w:rPr>
          <w:b/>
          <w:color w:val="000000"/>
          <w:sz w:val="22"/>
          <w:szCs w:val="22"/>
          <w:lang w:eastAsia="en-US"/>
        </w:rPr>
      </w:pPr>
    </w:p>
    <w:p w:rsidR="00FF171F" w:rsidRPr="00DA2504" w:rsidRDefault="00FF171F" w:rsidP="00FF171F">
      <w:pPr>
        <w:snapToGrid w:val="0"/>
        <w:spacing w:afterLines="100" w:after="312" w:line="276" w:lineRule="auto"/>
        <w:rPr>
          <w:color w:val="000000"/>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Steel Rebar Futures Contract</w:t>
      </w:r>
    </w:p>
    <w:p w:rsidR="00FF171F" w:rsidRPr="00DA2504" w:rsidRDefault="00FF171F" w:rsidP="00FF171F">
      <w:pPr>
        <w:spacing w:afterLines="50" w:after="156" w:line="276" w:lineRule="auto"/>
        <w:jc w:val="center"/>
        <w:rPr>
          <w:b/>
          <w:color w:val="000000"/>
          <w:sz w:val="24"/>
          <w:szCs w:val="28"/>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5982"/>
      </w:tblGrid>
      <w:tr w:rsidR="00FF171F" w:rsidRPr="00DA2504" w:rsidTr="00F44B75">
        <w:trPr>
          <w:trHeight w:val="447"/>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Product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Steel Rebar</w:t>
            </w:r>
          </w:p>
        </w:tc>
      </w:tr>
      <w:tr w:rsidR="00FF171F" w:rsidRPr="00DA2504" w:rsidTr="00F44B75">
        <w:trPr>
          <w:trHeight w:val="441"/>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Size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tons/lot</w:t>
            </w:r>
          </w:p>
        </w:tc>
      </w:tr>
      <w:tr w:rsidR="00FF171F" w:rsidRPr="00DA2504" w:rsidTr="00F44B75">
        <w:trPr>
          <w:trHeight w:val="448"/>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Price Quotation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493"/>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Price Fluctuation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 Yuan/metric ton</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Listed Contracts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Trading Hours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Last Trading Day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Period </w:t>
            </w:r>
          </w:p>
        </w:tc>
        <w:tc>
          <w:tcPr>
            <w:tcW w:w="5982"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82"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HRB400 steel rebars of diameter Φ16 mm, Φ18 mm, Φ20 mm, Φ22 mm, or Φ25 mm as prescribed in National Standard GB/T 1499.2-2018: Steel for the Reinforcement of Concrete - Part 2: Hot Rolled Ribbed Bars.</w:t>
            </w:r>
          </w:p>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HRB400E steel rebars of diameter Φ16 mm, Φ18 mm, Φ20 mm, Φ22 mm, or Φ25 mm as prescribed in National Standard GB/T 1499.2-2018: Steel for the Reinforcement of Concrete - Part 2: Hot Rolled Ribbed Bars.</w:t>
            </w:r>
          </w:p>
        </w:tc>
      </w:tr>
      <w:tr w:rsidR="00FF171F" w:rsidRPr="00DA2504" w:rsidTr="00F44B75">
        <w:trPr>
          <w:trHeight w:val="48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Venue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407"/>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Trade Margin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49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Settlement Type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49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 xml:space="preserve">Delivery Unit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300 metric tons</w:t>
            </w:r>
          </w:p>
        </w:tc>
      </w:tr>
      <w:tr w:rsidR="00FF171F" w:rsidRPr="00DA2504" w:rsidTr="00F44B75">
        <w:trPr>
          <w:trHeight w:val="442"/>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Symbol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RB</w:t>
            </w:r>
          </w:p>
        </w:tc>
      </w:tr>
      <w:tr w:rsidR="00FF171F" w:rsidRPr="00DA2504" w:rsidTr="00F44B75">
        <w:trPr>
          <w:trHeight w:val="555"/>
          <w:jc w:val="center"/>
        </w:trPr>
        <w:tc>
          <w:tcPr>
            <w:tcW w:w="310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Listing Exchange </w:t>
            </w:r>
          </w:p>
        </w:tc>
        <w:tc>
          <w:tcPr>
            <w:tcW w:w="5982"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rFonts w:eastAsia="方正大标宋简体"/>
          <w:color w:val="000000"/>
          <w:sz w:val="22"/>
          <w:szCs w:val="22"/>
          <w:lang w:eastAsia="en-US"/>
        </w:rPr>
      </w:pPr>
    </w:p>
    <w:p w:rsidR="00FF171F" w:rsidRPr="00DA2504" w:rsidRDefault="00FF171F" w:rsidP="00FF171F">
      <w:pPr>
        <w:snapToGrid w:val="0"/>
        <w:spacing w:afterLines="100" w:after="312" w:line="276" w:lineRule="auto"/>
        <w:rPr>
          <w:b/>
          <w:color w:val="000000"/>
          <w:sz w:val="22"/>
          <w:szCs w:val="22"/>
          <w:lang w:eastAsia="en-US"/>
        </w:rPr>
      </w:pPr>
    </w:p>
    <w:p w:rsidR="00FF171F" w:rsidRPr="00DA2504" w:rsidRDefault="00FF171F" w:rsidP="00FF171F">
      <w:pPr>
        <w:snapToGrid w:val="0"/>
        <w:spacing w:afterLines="100" w:after="312" w:line="276" w:lineRule="auto"/>
        <w:rPr>
          <w:color w:val="000000"/>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Wire Rod Futures Contract</w:t>
      </w:r>
    </w:p>
    <w:p w:rsidR="00FF171F" w:rsidRPr="00DA2504" w:rsidRDefault="00FF171F" w:rsidP="00FF171F">
      <w:pPr>
        <w:spacing w:afterLines="50" w:after="156" w:line="276" w:lineRule="auto"/>
        <w:jc w:val="center"/>
        <w:rPr>
          <w:b/>
          <w:color w:val="000000"/>
          <w:sz w:val="24"/>
          <w:szCs w:val="28"/>
          <w:lang w:eastAsia="en-US"/>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29"/>
      </w:tblGrid>
      <w:tr w:rsidR="00FF171F" w:rsidRPr="00DA2504" w:rsidTr="00F44B75">
        <w:trPr>
          <w:trHeight w:val="409"/>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Product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Wire Rod</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Size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tons/lot</w:t>
            </w:r>
          </w:p>
        </w:tc>
      </w:tr>
      <w:tr w:rsidR="00FF171F" w:rsidRPr="00DA2504" w:rsidTr="00F44B75">
        <w:trPr>
          <w:trHeight w:val="421"/>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Price Quotation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399"/>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Price Fluctuation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 Yuan/metric ton</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Range of Price Limit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5% of the settlement price of the preceding trading day</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Listed Contracts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Trading Hours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Last Trading Day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Period </w:t>
            </w:r>
          </w:p>
        </w:tc>
        <w:tc>
          <w:tcPr>
            <w:tcW w:w="5929"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Three consecutive business days after the last trading day </w:t>
            </w:r>
          </w:p>
        </w:tc>
      </w:tr>
      <w:tr w:rsidR="00FF171F" w:rsidRPr="00DA2504" w:rsidTr="00F44B75">
        <w:trPr>
          <w:trHeight w:val="564"/>
          <w:jc w:val="center"/>
        </w:trPr>
        <w:tc>
          <w:tcPr>
            <w:tcW w:w="3119"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29"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HPB300 wire rods of diameter Φ8 mm as prescribed in National Standard GB/T 1499.1-2017: Steel for the Reinforcement of Concrete - Part 1: Hot Rolled Plain Bars.</w:t>
            </w:r>
          </w:p>
        </w:tc>
      </w:tr>
      <w:tr w:rsidR="00FF171F" w:rsidRPr="00DA2504" w:rsidTr="00F44B75">
        <w:trPr>
          <w:trHeight w:val="564"/>
          <w:jc w:val="center"/>
        </w:trPr>
        <w:tc>
          <w:tcPr>
            <w:tcW w:w="3119" w:type="dxa"/>
            <w:vMerge/>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29"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HPB300 wire rods of diameter Φ10 mm as prescribed in National Standard GB/T 1499.1-2017: Steel for the Reinforcement of Concrete - Part 1: Hot Rolled Plain Bars.</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Venue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Trade Margin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7% of contract value</w:t>
            </w:r>
          </w:p>
        </w:tc>
      </w:tr>
      <w:tr w:rsidR="00FF171F" w:rsidRPr="00DA2504" w:rsidTr="00F44B75">
        <w:trPr>
          <w:trHeight w:val="40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Settlement Type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40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dstrike/>
                <w:color w:val="000000"/>
                <w:sz w:val="22"/>
                <w:szCs w:val="22"/>
                <w:lang w:eastAsia="en-US"/>
              </w:rPr>
            </w:pPr>
            <w:r w:rsidRPr="00DA2504">
              <w:rPr>
                <w:color w:val="000000"/>
                <w:sz w:val="22"/>
                <w:szCs w:val="22"/>
                <w:lang w:eastAsia="en-US"/>
              </w:rPr>
              <w:t xml:space="preserve">Delivery Unit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300 metric tons</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Symbol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WR</w:t>
            </w:r>
          </w:p>
        </w:tc>
      </w:tr>
      <w:tr w:rsidR="00FF171F" w:rsidRPr="00DA2504" w:rsidTr="00F44B75">
        <w:trPr>
          <w:trHeight w:val="564"/>
          <w:jc w:val="center"/>
        </w:trPr>
        <w:tc>
          <w:tcPr>
            <w:tcW w:w="311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Listing Exchange </w:t>
            </w:r>
          </w:p>
        </w:tc>
        <w:tc>
          <w:tcPr>
            <w:tcW w:w="592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rPr>
          <w:color w:val="000000"/>
          <w:szCs w:val="22"/>
          <w:lang w:eastAsia="en-US"/>
        </w:rPr>
      </w:pPr>
    </w:p>
    <w:p w:rsidR="00FF171F" w:rsidRPr="00DA2504" w:rsidRDefault="00FF171F" w:rsidP="00FF171F">
      <w:pPr>
        <w:snapToGrid w:val="0"/>
        <w:spacing w:afterLines="50" w:after="156" w:line="276" w:lineRule="auto"/>
        <w:jc w:val="center"/>
        <w:rPr>
          <w:b/>
          <w:bCs/>
          <w:color w:val="000000"/>
          <w:sz w:val="24"/>
          <w:lang w:eastAsia="en-US"/>
        </w:rPr>
      </w:pPr>
      <w:r w:rsidRPr="00DA2504">
        <w:rPr>
          <w:color w:val="000000"/>
          <w:szCs w:val="22"/>
          <w:lang w:eastAsia="en-US"/>
        </w:rPr>
        <w:br w:type="page"/>
      </w:r>
      <w:r w:rsidRPr="00DA2504">
        <w:rPr>
          <w:b/>
          <w:bCs/>
          <w:color w:val="000000"/>
          <w:sz w:val="24"/>
          <w:lang w:eastAsia="en-US"/>
        </w:rPr>
        <w:lastRenderedPageBreak/>
        <w:t>SHFE Hot-Rolled Coil Futures Contract</w:t>
      </w:r>
    </w:p>
    <w:p w:rsidR="00FF171F" w:rsidRPr="00DA2504" w:rsidRDefault="00FF171F" w:rsidP="00FF171F">
      <w:pPr>
        <w:spacing w:afterLines="50" w:after="156" w:line="276" w:lineRule="auto"/>
        <w:jc w:val="center"/>
        <w:rPr>
          <w:b/>
          <w:bCs/>
          <w:color w:val="000000"/>
          <w:sz w:val="24"/>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279"/>
      </w:tblGrid>
      <w:tr w:rsidR="00FF171F" w:rsidRPr="00DA2504" w:rsidTr="00F44B75">
        <w:trPr>
          <w:trHeight w:val="447"/>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Product</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Hot-Rolled Coil</w:t>
            </w:r>
          </w:p>
        </w:tc>
      </w:tr>
      <w:tr w:rsidR="00FF171F" w:rsidRPr="00DA2504" w:rsidTr="00F44B75">
        <w:trPr>
          <w:trHeight w:val="411"/>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Size</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tons/lot</w:t>
            </w:r>
          </w:p>
        </w:tc>
      </w:tr>
      <w:tr w:rsidR="00FF171F" w:rsidRPr="00DA2504" w:rsidTr="00F44B75">
        <w:trPr>
          <w:trHeight w:val="418"/>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Price Quotation</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424"/>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Price Fluctuation</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 Yuan/metric ton</w:t>
            </w:r>
          </w:p>
        </w:tc>
      </w:tr>
      <w:tr w:rsidR="00FF171F" w:rsidRPr="00DA2504" w:rsidTr="00F44B75">
        <w:trPr>
          <w:trHeight w:val="512"/>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339"/>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Listed Contracts</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57"/>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Trading Hours</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1067"/>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Last Trading Day</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302"/>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6279"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512"/>
          <w:jc w:val="center"/>
        </w:trPr>
        <w:tc>
          <w:tcPr>
            <w:tcW w:w="2793"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6279"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Q235B hot-rolled coils as prescribed in GB/T 3274-2017: Hot-Rolled Plates and Strips of Carbon Structural Steel and Low-alloy Structural Steel, or SS400 hot-rolled coils as prescribed in JIS G 3101-2015: Rolled Steel for General Structures, both with a thickness of 5.75 mm and a width of 1,500 mm.</w:t>
            </w:r>
          </w:p>
        </w:tc>
      </w:tr>
      <w:tr w:rsidR="00FF171F" w:rsidRPr="00DA2504" w:rsidTr="00F44B75">
        <w:trPr>
          <w:trHeight w:val="512"/>
          <w:jc w:val="center"/>
        </w:trPr>
        <w:tc>
          <w:tcPr>
            <w:tcW w:w="2793" w:type="dxa"/>
            <w:vMerge/>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6279"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Substitute: Q235B hot-rolled coils as prescribed in GB/T 3274-2017: Hot-Rolled Plates and Strips of Carbon Structural Steel and Low-alloy Structural Steel, or SS400 hot-rolled coils as prescribed in JIS G 3101-2015: Rolled Steel for General Structures, both with a thickness of 9.75 mm, 9.5 mm, 7.75 mm, 7.5 mm, 5.80 mm, 5.70 mm, 5.60 mm, 5.50 mm, 5.25 mm, 4.75 mm, 4.50 mm, 4.25 mm, 3.75 mm, or 3.50 mm and a width of 1,500 mm.</w:t>
            </w:r>
          </w:p>
        </w:tc>
      </w:tr>
      <w:tr w:rsidR="00FF171F" w:rsidRPr="00DA2504" w:rsidTr="00F44B75">
        <w:trPr>
          <w:trHeight w:val="443"/>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Venue</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421"/>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Minimum Trade Margin</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4% of contract value</w:t>
            </w:r>
          </w:p>
        </w:tc>
      </w:tr>
      <w:tr w:rsidR="00FF171F" w:rsidRPr="00DA2504" w:rsidTr="00F44B75">
        <w:trPr>
          <w:trHeight w:val="292"/>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Settlement Type</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414"/>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Unit</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300 metric tons</w:t>
            </w:r>
          </w:p>
        </w:tc>
      </w:tr>
      <w:tr w:rsidR="00FF171F" w:rsidRPr="00DA2504" w:rsidTr="00F44B75">
        <w:trPr>
          <w:trHeight w:val="344"/>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Contract Symbol</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HC</w:t>
            </w:r>
          </w:p>
        </w:tc>
      </w:tr>
      <w:tr w:rsidR="00FF171F" w:rsidRPr="00DA2504" w:rsidTr="00F44B75">
        <w:trPr>
          <w:trHeight w:val="512"/>
          <w:jc w:val="center"/>
        </w:trPr>
        <w:tc>
          <w:tcPr>
            <w:tcW w:w="279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Listing Exchange</w:t>
            </w:r>
          </w:p>
        </w:tc>
        <w:tc>
          <w:tcPr>
            <w:tcW w:w="6279"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adjustRightInd w:val="0"/>
        <w:snapToGrid w:val="0"/>
        <w:spacing w:afterLines="50" w:after="156" w:line="276" w:lineRule="auto"/>
        <w:jc w:val="center"/>
        <w:rPr>
          <w:rFonts w:eastAsia="微软雅黑"/>
          <w:b/>
          <w:color w:val="000000"/>
          <w:sz w:val="28"/>
          <w:szCs w:val="28"/>
          <w:lang w:eastAsia="en-US"/>
        </w:rPr>
      </w:pPr>
      <w:r w:rsidRPr="00DA2504">
        <w:rPr>
          <w:rFonts w:eastAsia="方正大标宋简体"/>
          <w:color w:val="000000"/>
          <w:sz w:val="22"/>
          <w:szCs w:val="22"/>
          <w:lang w:eastAsia="en-US"/>
        </w:rPr>
        <w:br w:type="page"/>
      </w:r>
      <w:r w:rsidRPr="00DA2504">
        <w:rPr>
          <w:rFonts w:eastAsia="微软雅黑"/>
          <w:b/>
          <w:color w:val="000000"/>
          <w:sz w:val="28"/>
          <w:szCs w:val="28"/>
          <w:lang w:eastAsia="en-US"/>
        </w:rPr>
        <w:lastRenderedPageBreak/>
        <w:t xml:space="preserve">SHFE Stainless Steel Futures Contract </w:t>
      </w:r>
    </w:p>
    <w:p w:rsidR="00FF171F" w:rsidRPr="00DA2504" w:rsidRDefault="00FF171F" w:rsidP="00FF171F">
      <w:pPr>
        <w:adjustRightInd w:val="0"/>
        <w:snapToGrid w:val="0"/>
        <w:spacing w:afterLines="50" w:after="156" w:line="276" w:lineRule="auto"/>
        <w:jc w:val="center"/>
        <w:rPr>
          <w:rFonts w:eastAsia="微软雅黑"/>
          <w:b/>
          <w:color w:val="000000"/>
          <w:sz w:val="28"/>
          <w:szCs w:val="28"/>
          <w:lang w:eastAsia="en-US"/>
        </w:rPr>
      </w:pP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728"/>
      </w:tblGrid>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Cs/>
                <w:color w:val="000000"/>
                <w:sz w:val="22"/>
                <w:szCs w:val="22"/>
                <w:lang w:eastAsia="en-US"/>
              </w:rPr>
            </w:pPr>
            <w:r w:rsidRPr="00DA2504">
              <w:rPr>
                <w:rFonts w:eastAsia="方正仿宋简体"/>
                <w:bCs/>
                <w:color w:val="000000"/>
                <w:sz w:val="22"/>
                <w:szCs w:val="22"/>
                <w:lang w:eastAsia="en-US"/>
              </w:rPr>
              <w:t>Product</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Cs/>
                <w:color w:val="000000"/>
                <w:sz w:val="22"/>
                <w:szCs w:val="22"/>
                <w:lang w:eastAsia="en-US"/>
              </w:rPr>
            </w:pPr>
            <w:r w:rsidRPr="00DA2504">
              <w:rPr>
                <w:rFonts w:eastAsia="微软雅黑"/>
                <w:bCs/>
                <w:color w:val="000000"/>
                <w:sz w:val="22"/>
                <w:szCs w:val="22"/>
                <w:lang w:eastAsia="en-US"/>
              </w:rPr>
              <w:t xml:space="preserve">Stainless Steel </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仿宋"/>
                <w:color w:val="000000"/>
                <w:kern w:val="0"/>
                <w:sz w:val="22"/>
                <w:szCs w:val="22"/>
                <w:lang w:eastAsia="en-US"/>
              </w:rPr>
              <w:t>Contract Size</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color w:val="000000"/>
                <w:sz w:val="22"/>
                <w:szCs w:val="22"/>
                <w:lang w:eastAsia="en-US"/>
              </w:rPr>
              <w:t>5 metric tons (MT)/lot</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仿宋"/>
                <w:color w:val="000000"/>
                <w:kern w:val="0"/>
                <w:sz w:val="22"/>
                <w:szCs w:val="22"/>
                <w:lang w:eastAsia="en-US"/>
              </w:rPr>
              <w:t>Price Quotation</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仿宋"/>
                <w:color w:val="000000"/>
                <w:kern w:val="0"/>
                <w:sz w:val="22"/>
                <w:szCs w:val="22"/>
                <w:lang w:eastAsia="en-US"/>
              </w:rPr>
              <w:t>Yuan (RMB) /MT</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仿宋"/>
                <w:color w:val="000000"/>
                <w:kern w:val="0"/>
                <w:sz w:val="22"/>
                <w:szCs w:val="22"/>
                <w:lang w:eastAsia="en-US"/>
              </w:rPr>
              <w:t>Minimum Price Fluctuation</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仿宋"/>
                <w:color w:val="000000"/>
                <w:sz w:val="22"/>
                <w:szCs w:val="22"/>
                <w:lang w:eastAsia="en-US"/>
              </w:rPr>
            </w:pPr>
            <w:r w:rsidRPr="00DA2504">
              <w:rPr>
                <w:rFonts w:eastAsia="仿宋"/>
                <w:color w:val="000000"/>
                <w:sz w:val="22"/>
                <w:szCs w:val="22"/>
                <w:lang w:eastAsia="en-US"/>
              </w:rPr>
              <w:t>Five (5) Yuan /MT</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仿宋"/>
                <w:color w:val="000000"/>
                <w:kern w:val="0"/>
                <w:sz w:val="22"/>
                <w:szCs w:val="22"/>
                <w:lang w:eastAsia="en-US"/>
              </w:rPr>
              <w:t>Daily Price Limit</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color w:val="000000"/>
                <w:sz w:val="22"/>
                <w:szCs w:val="22"/>
                <w:lang w:eastAsia="en-US"/>
              </w:rPr>
              <w:t>Within ±4% of the settlement price of the preceding trading day</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方正仿宋简体"/>
                <w:color w:val="000000"/>
                <w:sz w:val="22"/>
                <w:szCs w:val="22"/>
                <w:lang w:eastAsia="en-US"/>
              </w:rPr>
              <w:t>Listed Contracts</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方正仿宋简体"/>
                <w:color w:val="000000"/>
                <w:sz w:val="22"/>
                <w:szCs w:val="22"/>
                <w:lang w:eastAsia="en-US"/>
              </w:rPr>
              <w:t>Monthly contract of the most recent 12 months</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仿宋"/>
                <w:color w:val="000000"/>
                <w:kern w:val="0"/>
                <w:sz w:val="22"/>
                <w:szCs w:val="22"/>
                <w:lang w:eastAsia="en-US"/>
              </w:rPr>
              <w:t>Trading Hours</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bCs/>
                <w:color w:val="000000"/>
                <w:kern w:val="0"/>
                <w:sz w:val="22"/>
                <w:szCs w:val="22"/>
                <w:lang w:eastAsia="en-US"/>
              </w:rPr>
              <w:t>9:00 a.m. to 11:30 a.m., 1:30 p.m. to 3:00 p.m., and other hours specified by the Exchange (Beijing Time)</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仿宋"/>
                <w:color w:val="000000"/>
                <w:kern w:val="0"/>
                <w:sz w:val="22"/>
                <w:szCs w:val="22"/>
                <w:lang w:eastAsia="en-US"/>
              </w:rPr>
              <w:t>Last Trading Day</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方正仿宋简体"/>
                <w:color w:val="000000"/>
                <w:sz w:val="22"/>
                <w:szCs w:val="22"/>
                <w:lang w:eastAsia="en-US"/>
              </w:rPr>
              <w:t>15th day of the contract month (postponed accordingly if it is a legal holiday in China and subject to separate announcement by the Exchange if it falls in the Spring Festival month or any other month specially designated by the Exchange.)</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color w:val="000000"/>
                <w:sz w:val="22"/>
                <w:szCs w:val="22"/>
                <w:lang w:eastAsia="en-US"/>
              </w:rPr>
              <w:t>Delivery Period</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color w:val="000000"/>
                <w:sz w:val="22"/>
                <w:szCs w:val="22"/>
                <w:lang w:eastAsia="en-US"/>
              </w:rPr>
              <w:t>Three consecutive business days after the last trading day</w:t>
            </w:r>
          </w:p>
        </w:tc>
      </w:tr>
      <w:tr w:rsidR="00FF171F" w:rsidRPr="00DA2504" w:rsidTr="00F44B75">
        <w:trPr>
          <w:trHeight w:val="557"/>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bCs/>
                <w:color w:val="000000"/>
                <w:sz w:val="22"/>
                <w:szCs w:val="22"/>
                <w:lang w:eastAsia="en-US"/>
              </w:rPr>
              <w:t>Grade and Quality Specifications</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color w:val="000000"/>
                <w:sz w:val="22"/>
                <w:szCs w:val="22"/>
                <w:lang w:eastAsia="en-US"/>
              </w:rPr>
              <w:t>Standard products:</w:t>
            </w:r>
            <w:r w:rsidRPr="00DA2504">
              <w:rPr>
                <w:color w:val="000000"/>
                <w:sz w:val="22"/>
                <w:szCs w:val="22"/>
                <w:lang w:eastAsia="en-US"/>
              </w:rPr>
              <w:t xml:space="preserve"> </w:t>
            </w:r>
            <w:r w:rsidRPr="00DA2504">
              <w:rPr>
                <w:rFonts w:eastAsia="方正仿宋简体"/>
                <w:color w:val="000000"/>
                <w:sz w:val="22"/>
                <w:szCs w:val="22"/>
                <w:lang w:eastAsia="en-US"/>
              </w:rPr>
              <w:t xml:space="preserve">304 austenitic cold-rolled stainless steel coils, with a thickness of 2.0mm, a width of 1219mm, 2B finish, and sheared edge. </w:t>
            </w:r>
          </w:p>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color w:val="000000"/>
                <w:sz w:val="22"/>
                <w:szCs w:val="22"/>
                <w:lang w:eastAsia="en-US"/>
              </w:rPr>
              <w:t>Substitutions: cold-rolled stainless steel coils optionally with a thickness of 0.5 mm, 0.6 mm, 0.7 mm, 0.8 mm, 0.9 mm, 1.0 mm, 1.2 mm, 1.5 mm, or 3.0 mm, a width of 1000mm or 1500mm, and raw edge (premiums and discounts in terms of thickness and edge will be prescribed and announced by the Exchange).</w:t>
            </w:r>
          </w:p>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color w:val="000000"/>
                <w:sz w:val="22"/>
                <w:szCs w:val="22"/>
                <w:lang w:eastAsia="en-US"/>
              </w:rPr>
              <w:t xml:space="preserve">Quality: meeting the standards for 06Cr19Ni10 required in the </w:t>
            </w:r>
            <w:r w:rsidRPr="00DA2504">
              <w:rPr>
                <w:rFonts w:eastAsia="方正仿宋简体"/>
                <w:i/>
                <w:iCs/>
                <w:color w:val="000000"/>
                <w:sz w:val="22"/>
                <w:szCs w:val="22"/>
                <w:lang w:eastAsia="en-US"/>
              </w:rPr>
              <w:t>GB/T3280-2015 Cold- Rolled Stainless Steel Plate, Sheet and Strip</w:t>
            </w:r>
            <w:r w:rsidRPr="00DA2504">
              <w:rPr>
                <w:rFonts w:eastAsia="方正仿宋简体"/>
                <w:color w:val="000000"/>
                <w:sz w:val="22"/>
                <w:szCs w:val="22"/>
                <w:lang w:eastAsia="en-US"/>
              </w:rPr>
              <w:t xml:space="preserve"> or those for SUS304 set forth in the </w:t>
            </w:r>
            <w:r w:rsidRPr="00DA2504">
              <w:rPr>
                <w:rFonts w:eastAsia="方正仿宋简体"/>
                <w:i/>
                <w:iCs/>
                <w:color w:val="000000"/>
                <w:sz w:val="22"/>
                <w:szCs w:val="22"/>
                <w:lang w:eastAsia="en-US"/>
              </w:rPr>
              <w:t>JIS G 4305:2012 Cold-Rolled Stainless Steel Plate, Sheet and Strip</w:t>
            </w:r>
            <w:r w:rsidRPr="00DA2504">
              <w:rPr>
                <w:rFonts w:eastAsia="方正仿宋简体"/>
                <w:color w:val="000000"/>
                <w:sz w:val="22"/>
                <w:szCs w:val="22"/>
                <w:lang w:eastAsia="en-US"/>
              </w:rPr>
              <w:t>.</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color w:val="000000"/>
                <w:sz w:val="22"/>
                <w:szCs w:val="22"/>
                <w:lang w:eastAsia="en-US"/>
              </w:rPr>
              <w:t>Delivery Venue</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方正仿宋简体"/>
                <w:color w:val="000000"/>
                <w:sz w:val="22"/>
                <w:szCs w:val="22"/>
                <w:lang w:eastAsia="en-US"/>
              </w:rPr>
              <w:t xml:space="preserve">SHFE-certified </w:t>
            </w:r>
            <w:r w:rsidRPr="00DA2504">
              <w:rPr>
                <w:color w:val="000000"/>
                <w:sz w:val="22"/>
                <w:szCs w:val="22"/>
                <w:lang w:eastAsia="en-US"/>
              </w:rPr>
              <w:t>delivery warehouses</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仿宋"/>
                <w:color w:val="000000"/>
                <w:kern w:val="0"/>
                <w:sz w:val="22"/>
                <w:szCs w:val="22"/>
                <w:lang w:eastAsia="en-US"/>
              </w:rPr>
              <w:t xml:space="preserve">Minimum </w:t>
            </w:r>
            <w:r w:rsidRPr="00DA2504">
              <w:rPr>
                <w:color w:val="000000"/>
                <w:sz w:val="22"/>
                <w:szCs w:val="22"/>
                <w:lang w:eastAsia="en-US"/>
              </w:rPr>
              <w:t>Trade Margin</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方正仿宋简体"/>
                <w:color w:val="000000"/>
                <w:sz w:val="22"/>
                <w:szCs w:val="22"/>
                <w:lang w:eastAsia="en-US"/>
              </w:rPr>
              <w:t>5% of the contract value</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bCs/>
                <w:color w:val="000000"/>
                <w:sz w:val="22"/>
                <w:szCs w:val="22"/>
                <w:lang w:eastAsia="en-US"/>
              </w:rPr>
            </w:pPr>
            <w:r w:rsidRPr="00DA2504">
              <w:rPr>
                <w:rFonts w:eastAsia="方正仿宋简体"/>
                <w:color w:val="000000"/>
                <w:sz w:val="22"/>
                <w:szCs w:val="22"/>
                <w:lang w:eastAsia="en-US"/>
              </w:rPr>
              <w:t>Settlement Type</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bCs/>
                <w:color w:val="000000"/>
                <w:sz w:val="22"/>
                <w:szCs w:val="22"/>
                <w:lang w:eastAsia="en-US"/>
              </w:rPr>
            </w:pPr>
            <w:r w:rsidRPr="00DA2504">
              <w:rPr>
                <w:rFonts w:eastAsia="方正仿宋简体"/>
                <w:color w:val="000000"/>
                <w:sz w:val="22"/>
                <w:szCs w:val="22"/>
                <w:lang w:eastAsia="en-US"/>
              </w:rPr>
              <w:t>Physical delivery</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color w:val="000000"/>
                <w:sz w:val="22"/>
                <w:szCs w:val="22"/>
                <w:lang w:eastAsia="en-US"/>
              </w:rPr>
              <w:t>Delivery Unit</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hint="eastAsia"/>
                <w:b/>
                <w:color w:val="000000"/>
                <w:sz w:val="22"/>
                <w:szCs w:val="22"/>
              </w:rPr>
            </w:pPr>
            <w:r w:rsidRPr="00DA2504">
              <w:rPr>
                <w:rFonts w:eastAsia="仿宋"/>
                <w:color w:val="000000"/>
                <w:kern w:val="0"/>
                <w:sz w:val="22"/>
                <w:szCs w:val="22"/>
                <w:lang w:eastAsia="en-US"/>
              </w:rPr>
              <w:t xml:space="preserve">60 </w:t>
            </w:r>
            <w:r w:rsidRPr="00DA2504">
              <w:rPr>
                <w:rFonts w:eastAsia="仿宋" w:hint="eastAsia"/>
                <w:color w:val="000000"/>
                <w:kern w:val="0"/>
                <w:sz w:val="22"/>
                <w:szCs w:val="22"/>
              </w:rPr>
              <w:t>metric tons</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color w:val="000000"/>
                <w:sz w:val="22"/>
                <w:szCs w:val="22"/>
                <w:lang w:eastAsia="en-US"/>
              </w:rPr>
              <w:t>Contract Symbol</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b/>
                <w:color w:val="000000"/>
                <w:sz w:val="22"/>
                <w:szCs w:val="22"/>
                <w:lang w:eastAsia="en-US"/>
              </w:rPr>
            </w:pPr>
            <w:r w:rsidRPr="00DA2504">
              <w:rPr>
                <w:rFonts w:eastAsia="方正仿宋简体"/>
                <w:color w:val="000000"/>
                <w:sz w:val="22"/>
                <w:szCs w:val="22"/>
                <w:lang w:eastAsia="en-US"/>
              </w:rPr>
              <w:t>SS</w:t>
            </w:r>
          </w:p>
        </w:tc>
      </w:tr>
      <w:tr w:rsidR="00FF171F" w:rsidRPr="00DA2504" w:rsidTr="00F44B75">
        <w:trPr>
          <w:trHeight w:val="336"/>
          <w:jc w:val="center"/>
        </w:trPr>
        <w:tc>
          <w:tcPr>
            <w:tcW w:w="26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rFonts w:eastAsia="方正仿宋简体"/>
                <w:color w:val="000000"/>
                <w:sz w:val="22"/>
                <w:szCs w:val="22"/>
                <w:lang w:eastAsia="en-US"/>
              </w:rPr>
              <w:t>Listing Exchange</w:t>
            </w:r>
          </w:p>
        </w:tc>
        <w:tc>
          <w:tcPr>
            <w:tcW w:w="5728" w:type="dxa"/>
            <w:vAlign w:val="center"/>
          </w:tcPr>
          <w:p w:rsidR="00FF171F" w:rsidRPr="00DA2504" w:rsidRDefault="00FF171F" w:rsidP="00F44B75">
            <w:pPr>
              <w:adjustRightInd w:val="0"/>
              <w:snapToGrid w:val="0"/>
              <w:spacing w:beforeLines="25" w:before="78" w:afterLines="25" w:after="78" w:line="271"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widowControl/>
        <w:snapToGrid w:val="0"/>
        <w:spacing w:afterLines="100" w:after="312" w:line="276" w:lineRule="auto"/>
        <w:jc w:val="center"/>
        <w:rPr>
          <w:b/>
          <w:color w:val="000000"/>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Silver Futures Contract</w:t>
      </w:r>
    </w:p>
    <w:p w:rsidR="00FF171F" w:rsidRPr="00DA2504" w:rsidRDefault="00FF171F" w:rsidP="00FF171F">
      <w:pPr>
        <w:spacing w:afterLines="50" w:after="156" w:line="276" w:lineRule="auto"/>
        <w:jc w:val="center"/>
        <w:rPr>
          <w:b/>
          <w:color w:val="000000"/>
          <w:sz w:val="24"/>
          <w:szCs w:val="28"/>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Product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Silver</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Size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 kilograms/lot</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Price Quotation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(RMB)/kilogram</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Price Fluctuation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 yuan/kilogram</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Range of Price Limit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Listed Contracts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12 months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Trading Hours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Last Trading Day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Period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Three consecutive business days after the last trading day </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Grade and Quality Specifications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IC-Ag99.99 silver as prescribed in National Standard GB/T 4135-2016, with silver content not less than 99.99%.</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Venue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Trade Margin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4% of contract value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Settlement Type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Unit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30 kilograms</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Symbol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AG</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Listing Exchange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rFonts w:eastAsia="方正大标宋简体"/>
          <w:color w:val="000000"/>
          <w:sz w:val="22"/>
          <w:szCs w:val="22"/>
          <w:lang w:eastAsia="en-US"/>
        </w:rPr>
      </w:pPr>
    </w:p>
    <w:p w:rsidR="00FF171F" w:rsidRPr="00DA2504" w:rsidRDefault="00FF171F" w:rsidP="00FF171F">
      <w:pPr>
        <w:snapToGrid w:val="0"/>
        <w:spacing w:afterLines="100" w:after="312" w:line="276" w:lineRule="auto"/>
        <w:rPr>
          <w:b/>
          <w:color w:val="000000"/>
          <w:sz w:val="22"/>
          <w:szCs w:val="22"/>
          <w:lang w:eastAsia="en-US"/>
        </w:rPr>
      </w:pPr>
    </w:p>
    <w:p w:rsidR="00FF171F" w:rsidRPr="00DA2504" w:rsidRDefault="00FF171F" w:rsidP="00FF171F">
      <w:pPr>
        <w:snapToGrid w:val="0"/>
        <w:spacing w:afterLines="100" w:after="312" w:line="276" w:lineRule="auto"/>
        <w:rPr>
          <w:color w:val="000000"/>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Natural Rubber Futures Contract</w:t>
      </w:r>
    </w:p>
    <w:p w:rsidR="00FF171F" w:rsidRPr="00DA2504" w:rsidRDefault="00FF171F" w:rsidP="00FF171F">
      <w:pPr>
        <w:spacing w:afterLines="50" w:after="156" w:line="276" w:lineRule="auto"/>
        <w:jc w:val="center"/>
        <w:rPr>
          <w:b/>
          <w:color w:val="000000"/>
          <w:sz w:val="24"/>
          <w:szCs w:val="28"/>
          <w:lang w:eastAsia="en-US"/>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53"/>
      </w:tblGrid>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Product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Natural Rubber</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Size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tons/lot</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Price Quotation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Price Fluctuation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Yuan/metric ton</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Range of Price Limit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Listed Contracts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January, March, April, May, June, July, August, September, October, and November</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Trading Hours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Last Trading Day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Period </w:t>
            </w:r>
          </w:p>
        </w:tc>
        <w:tc>
          <w:tcPr>
            <w:tcW w:w="5953" w:type="dxa"/>
            <w:tcBorders>
              <w:bottom w:val="single" w:sz="4" w:space="0" w:color="auto"/>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3131" w:type="dxa"/>
            <w:vMerge w:val="restart"/>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Grade and Quality Specifications</w:t>
            </w:r>
          </w:p>
        </w:tc>
        <w:tc>
          <w:tcPr>
            <w:tcW w:w="5953" w:type="dxa"/>
            <w:tcBorders>
              <w:bottom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Standard: 1. Domestic SCR WF natural rubber with a quality specification as prescribed in National Standard GB/T 8081-2018.</w:t>
            </w:r>
          </w:p>
        </w:tc>
      </w:tr>
      <w:tr w:rsidR="00FF171F" w:rsidRPr="00DA2504" w:rsidTr="00F44B75">
        <w:trPr>
          <w:trHeight w:val="636"/>
          <w:jc w:val="center"/>
        </w:trPr>
        <w:tc>
          <w:tcPr>
            <w:tcW w:w="3131" w:type="dxa"/>
            <w:vMerge/>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p>
        </w:tc>
        <w:tc>
          <w:tcPr>
            <w:tcW w:w="5953" w:type="dxa"/>
            <w:tcBorders>
              <w:top w:val="nil"/>
            </w:tcBorders>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2. Imported #3 ribbed smoked sheets (RSS3) with a quality specification as prescribed in the </w:t>
            </w:r>
            <w:r w:rsidRPr="00DA2504">
              <w:rPr>
                <w:i/>
                <w:color w:val="000000"/>
                <w:sz w:val="22"/>
                <w:szCs w:val="22"/>
                <w:lang w:eastAsia="en-US"/>
              </w:rPr>
              <w:t>International Standards of Quality and Packing for Natural Rubber Grades (The Green Book)</w:t>
            </w:r>
            <w:r w:rsidRPr="00DA2504">
              <w:rPr>
                <w:color w:val="000000"/>
                <w:sz w:val="22"/>
                <w:szCs w:val="22"/>
                <w:lang w:eastAsia="en-US"/>
              </w:rPr>
              <w:t xml:space="preserve"> (1979 Edition).</w:t>
            </w:r>
          </w:p>
        </w:tc>
      </w:tr>
      <w:tr w:rsidR="00FF171F" w:rsidRPr="00DA2504" w:rsidTr="00F44B75">
        <w:trPr>
          <w:trHeight w:val="467"/>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Venue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storage facilities</w:t>
            </w:r>
          </w:p>
        </w:tc>
      </w:tr>
      <w:tr w:rsidR="00FF171F" w:rsidRPr="00DA2504" w:rsidTr="00F44B75">
        <w:trPr>
          <w:trHeight w:val="559"/>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Trade Margin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5% of contract value</w:t>
            </w:r>
          </w:p>
        </w:tc>
      </w:tr>
      <w:tr w:rsidR="00FF171F" w:rsidRPr="00DA2504" w:rsidTr="00F44B75">
        <w:trPr>
          <w:trHeight w:val="462"/>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Settlement Type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Physical delivery</w:t>
            </w:r>
          </w:p>
        </w:tc>
      </w:tr>
      <w:tr w:rsidR="00FF171F" w:rsidRPr="00DA2504" w:rsidTr="00F44B75">
        <w:trPr>
          <w:trHeight w:val="462"/>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Unit</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w:t>
            </w:r>
          </w:p>
        </w:tc>
      </w:tr>
      <w:tr w:rsidR="00FF171F" w:rsidRPr="00DA2504" w:rsidTr="00F44B75">
        <w:trPr>
          <w:trHeight w:val="568"/>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Symbol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RU </w:t>
            </w:r>
          </w:p>
        </w:tc>
      </w:tr>
      <w:tr w:rsidR="00FF171F" w:rsidRPr="00DA2504" w:rsidTr="00F44B75">
        <w:trPr>
          <w:trHeight w:val="636"/>
          <w:jc w:val="center"/>
        </w:trPr>
        <w:tc>
          <w:tcPr>
            <w:tcW w:w="3131"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Listing Exchange </w:t>
            </w:r>
          </w:p>
        </w:tc>
        <w:tc>
          <w:tcPr>
            <w:tcW w:w="5953"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center"/>
        <w:rPr>
          <w:b/>
          <w:color w:val="000000"/>
          <w:sz w:val="22"/>
          <w:szCs w:val="22"/>
          <w:lang w:eastAsia="en-US"/>
        </w:rPr>
      </w:pPr>
    </w:p>
    <w:p w:rsidR="00FF171F" w:rsidRPr="00DA2504" w:rsidRDefault="00FF171F" w:rsidP="00FF171F">
      <w:pPr>
        <w:spacing w:afterLines="50" w:after="156" w:line="276" w:lineRule="auto"/>
        <w:jc w:val="center"/>
        <w:rPr>
          <w:b/>
          <w:color w:val="000000"/>
          <w:sz w:val="24"/>
          <w:szCs w:val="22"/>
        </w:rPr>
      </w:pPr>
      <w:r w:rsidRPr="00DA2504">
        <w:rPr>
          <w:b/>
          <w:color w:val="000000"/>
          <w:sz w:val="22"/>
          <w:szCs w:val="22"/>
          <w:lang w:eastAsia="en-US"/>
        </w:rPr>
        <w:br w:type="page"/>
      </w:r>
      <w:r w:rsidRPr="00DA2504">
        <w:rPr>
          <w:b/>
          <w:color w:val="000000"/>
          <w:sz w:val="24"/>
          <w:szCs w:val="22"/>
          <w:lang w:eastAsia="en-US"/>
        </w:rPr>
        <w:lastRenderedPageBreak/>
        <w:t xml:space="preserve">SHFE Fuel Oil Contract </w:t>
      </w:r>
    </w:p>
    <w:p w:rsidR="00FF171F" w:rsidRPr="00DA2504" w:rsidRDefault="00FF171F" w:rsidP="00FF171F">
      <w:pPr>
        <w:spacing w:afterLines="50" w:after="156" w:line="276" w:lineRule="auto"/>
        <w:jc w:val="center"/>
        <w:rPr>
          <w:b/>
          <w:color w:val="000000"/>
          <w:sz w:val="24"/>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015"/>
        <w:gridCol w:w="6281"/>
      </w:tblGrid>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Product</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Fuel Oil</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Contract Size</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10 metric tons/lot</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Price Quotation</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RMB yuan/metric ton (exclusive of tax)</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Minimum Price Fluctuation</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1 yuan/metric ton</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Range of Price Limit</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Within 5% of the settlement price of the preceding trading day</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Listed Contracts</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Monthly contract of the most recent 12 months from January to December</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Trading Hours</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9:00 a.m. to 11:30 a.m., 1:30 p.m. to 3:00 p.m., and other hours specified by the Exchange (Beijing Time)</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Last Trading Day</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The last trading day of the month prior to the contract month. The last trading day may be adjusted by the Exchange in view of legal holidays in China.</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Delivery Period</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Three consecutive business days after the last trading day</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Grade and Quality Specifications</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Marine fuel oil RMG 380 (sulfur content level I or II) or higher grades (refer to Annex for detailed quality requirements)</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Delivery Venue</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SHFE-certified delivery venues</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Minimum Trade Margin</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8% of contract value</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Settlement Type</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Physical delivery</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Delivery Unit</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10 metric tons</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Contract Symbol</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FU</w:t>
            </w:r>
          </w:p>
        </w:tc>
      </w:tr>
      <w:tr w:rsidR="00FF171F" w:rsidRPr="00DA2504" w:rsidTr="00F44B75">
        <w:trPr>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bCs/>
                <w:color w:val="000000"/>
                <w:sz w:val="22"/>
                <w:szCs w:val="22"/>
                <w:lang w:eastAsia="en-US"/>
              </w:rPr>
              <w:t>Listing Exchange</w:t>
            </w:r>
          </w:p>
        </w:tc>
        <w:tc>
          <w:tcPr>
            <w:tcW w:w="628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pacing w:beforeLines="30" w:before="93" w:afterLines="30" w:after="93" w:line="276" w:lineRule="auto"/>
              <w:jc w:val="left"/>
              <w:rPr>
                <w:bCs/>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center"/>
        <w:rPr>
          <w:b/>
          <w:color w:val="000000"/>
          <w:sz w:val="22"/>
          <w:szCs w:val="22"/>
          <w:lang w:eastAsia="en-US"/>
        </w:rPr>
      </w:pPr>
    </w:p>
    <w:p w:rsidR="00FF171F" w:rsidRPr="00DA2504" w:rsidRDefault="00FF171F" w:rsidP="00FF171F">
      <w:pPr>
        <w:snapToGrid w:val="0"/>
        <w:spacing w:afterLines="100" w:after="312" w:line="276" w:lineRule="auto"/>
        <w:jc w:val="center"/>
        <w:rPr>
          <w:b/>
          <w:color w:val="000000"/>
          <w:sz w:val="22"/>
          <w:szCs w:val="22"/>
          <w:lang w:eastAsia="en-US"/>
        </w:rPr>
      </w:pPr>
    </w:p>
    <w:p w:rsidR="00FF171F" w:rsidRPr="00DA2504" w:rsidRDefault="00FF171F" w:rsidP="00FF171F">
      <w:pPr>
        <w:snapToGrid w:val="0"/>
        <w:spacing w:afterLines="100" w:after="312" w:line="276" w:lineRule="auto"/>
        <w:jc w:val="center"/>
        <w:rPr>
          <w:b/>
          <w:color w:val="000000"/>
          <w:sz w:val="22"/>
          <w:szCs w:val="22"/>
          <w:lang w:eastAsia="en-US"/>
        </w:rPr>
      </w:pPr>
    </w:p>
    <w:p w:rsidR="00FF171F" w:rsidRPr="00DA2504" w:rsidRDefault="00FF171F" w:rsidP="00FF171F">
      <w:pPr>
        <w:snapToGrid w:val="0"/>
        <w:spacing w:afterLines="50" w:after="156" w:line="276" w:lineRule="auto"/>
        <w:jc w:val="center"/>
        <w:outlineLvl w:val="0"/>
        <w:rPr>
          <w:b/>
          <w:color w:val="000000"/>
          <w:sz w:val="24"/>
          <w:szCs w:val="28"/>
          <w:lang w:eastAsia="en-US"/>
        </w:rPr>
      </w:pPr>
      <w:r w:rsidRPr="00DA2504">
        <w:rPr>
          <w:b/>
          <w:color w:val="000000"/>
          <w:sz w:val="24"/>
          <w:szCs w:val="28"/>
          <w:lang w:eastAsia="en-US"/>
        </w:rPr>
        <w:lastRenderedPageBreak/>
        <w:t>SHFE Bitumen Futures Contract</w:t>
      </w:r>
    </w:p>
    <w:p w:rsidR="00FF171F" w:rsidRPr="00DA2504" w:rsidRDefault="00FF171F" w:rsidP="00FF171F">
      <w:pPr>
        <w:spacing w:afterLines="50" w:after="156" w:line="276" w:lineRule="auto"/>
        <w:jc w:val="center"/>
        <w:rPr>
          <w:b/>
          <w:color w:val="000000"/>
          <w:sz w:val="24"/>
          <w:szCs w:val="28"/>
          <w:lang w:eastAsia="en-US"/>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746"/>
      </w:tblGrid>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Product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Bitumen</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Size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tons/lot</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Price Quotation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Yuan (RMB)/metric ton</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Price Fluctuation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2 Yuan/metric ton</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Range of Price Limit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Within 3% of the settlement price of the preceding trading day</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Listed Contracts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Monthly contract for the most recent 6 consecutive months in a 24-month period and quarterly contract thereafter</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Trading Hours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9:00 a.m. to 11:30 a.m., 1:30 p.m. to 3:00 p.m., and other hours specified by the Exchange (Beijing Time)</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Last Trading Day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Period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Three consecutive business days after the last trading day</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Grade and Quality Specifications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#70 Grade-A road bitumen as detailed in the </w:t>
            </w:r>
            <w:r w:rsidRPr="00DA2504">
              <w:rPr>
                <w:i/>
                <w:color w:val="000000"/>
                <w:sz w:val="22"/>
                <w:szCs w:val="22"/>
                <w:lang w:eastAsia="en-US"/>
              </w:rPr>
              <w:t>Bitumen Futures Delivery Rules of the Shanghai Futures Exchange (Trial)</w:t>
            </w:r>
            <w:r w:rsidRPr="00DA2504">
              <w:rPr>
                <w:color w:val="000000"/>
                <w:sz w:val="22"/>
                <w:szCs w:val="22"/>
                <w:lang w:eastAsia="en-US"/>
              </w:rPr>
              <w:t>.</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Delivery Venue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SHFE-designated delivery venues</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Minimum Trade Margin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4% of contract value</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Settlement Type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bookmarkStart w:id="0" w:name="RANGE!B224"/>
            <w:r w:rsidRPr="00DA2504">
              <w:rPr>
                <w:color w:val="000000"/>
                <w:sz w:val="22"/>
                <w:szCs w:val="22"/>
                <w:lang w:eastAsia="en-US"/>
              </w:rPr>
              <w:t>Physical delivery</w:t>
            </w:r>
            <w:bookmarkEnd w:id="0"/>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Delivery Unit</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10 metric tons</w:t>
            </w:r>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Contract Symbol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bookmarkStart w:id="1" w:name="RANGE!B225"/>
            <w:r w:rsidRPr="00DA2504">
              <w:rPr>
                <w:color w:val="000000"/>
                <w:sz w:val="22"/>
                <w:szCs w:val="22"/>
                <w:lang w:eastAsia="en-US"/>
              </w:rPr>
              <w:t>BU</w:t>
            </w:r>
            <w:bookmarkEnd w:id="1"/>
          </w:p>
        </w:tc>
      </w:tr>
      <w:tr w:rsidR="00FF171F" w:rsidRPr="00DA2504" w:rsidTr="00F44B75">
        <w:trPr>
          <w:trHeight w:val="636"/>
          <w:jc w:val="center"/>
        </w:trPr>
        <w:tc>
          <w:tcPr>
            <w:tcW w:w="2600"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 xml:space="preserve">Listing Exchange </w:t>
            </w:r>
          </w:p>
        </w:tc>
        <w:tc>
          <w:tcPr>
            <w:tcW w:w="5746" w:type="dxa"/>
            <w:shd w:val="clear" w:color="auto" w:fill="auto"/>
            <w:vAlign w:val="center"/>
          </w:tcPr>
          <w:p w:rsidR="00FF171F" w:rsidRPr="00DA2504" w:rsidRDefault="00FF171F" w:rsidP="00F44B75">
            <w:pPr>
              <w:widowControl/>
              <w:snapToGrid w:val="0"/>
              <w:spacing w:beforeLines="30" w:before="93" w:afterLines="30" w:after="93" w:line="276" w:lineRule="auto"/>
              <w:jc w:val="left"/>
              <w:rPr>
                <w:rFonts w:eastAsia="方正仿宋简体"/>
                <w:color w:val="000000"/>
                <w:sz w:val="22"/>
                <w:szCs w:val="22"/>
                <w:lang w:eastAsia="en-US"/>
              </w:rPr>
            </w:pPr>
            <w:r w:rsidRPr="00DA2504">
              <w:rPr>
                <w:color w:val="000000"/>
                <w:sz w:val="22"/>
                <w:szCs w:val="22"/>
                <w:lang w:eastAsia="en-US"/>
              </w:rPr>
              <w:t>Shanghai Futures Exchange</w:t>
            </w:r>
          </w:p>
        </w:tc>
      </w:tr>
    </w:tbl>
    <w:p w:rsidR="00FF171F" w:rsidRPr="00DA2504" w:rsidRDefault="00FF171F" w:rsidP="00FF171F">
      <w:pPr>
        <w:snapToGrid w:val="0"/>
        <w:spacing w:afterLines="100" w:after="312" w:line="276" w:lineRule="auto"/>
        <w:jc w:val="left"/>
        <w:rPr>
          <w:color w:val="000000"/>
          <w:sz w:val="22"/>
          <w:szCs w:val="22"/>
          <w:lang w:eastAsia="en-US"/>
        </w:rPr>
      </w:pPr>
    </w:p>
    <w:p w:rsidR="00FF171F" w:rsidRPr="00DA2504" w:rsidRDefault="00FF171F" w:rsidP="00FF171F">
      <w:pPr>
        <w:snapToGrid w:val="0"/>
        <w:spacing w:afterLines="100" w:after="312" w:line="276" w:lineRule="auto"/>
        <w:rPr>
          <w:rFonts w:eastAsia="方正仿宋简体"/>
          <w:color w:val="000000"/>
          <w:sz w:val="22"/>
          <w:szCs w:val="22"/>
          <w:lang w:eastAsia="en-US"/>
        </w:rPr>
      </w:pPr>
    </w:p>
    <w:p w:rsidR="00FF171F" w:rsidRPr="00DA2504" w:rsidRDefault="00FF171F" w:rsidP="00FF171F">
      <w:pPr>
        <w:snapToGrid w:val="0"/>
        <w:spacing w:afterLines="100" w:after="312" w:line="276" w:lineRule="auto"/>
        <w:jc w:val="left"/>
        <w:rPr>
          <w:rFonts w:eastAsia="方正仿宋简体"/>
          <w:color w:val="000000"/>
          <w:sz w:val="22"/>
          <w:szCs w:val="22"/>
          <w:lang w:eastAsia="en-US"/>
        </w:rPr>
      </w:pPr>
    </w:p>
    <w:p w:rsidR="00FF171F" w:rsidRPr="00DA2504" w:rsidRDefault="00FF171F" w:rsidP="00FF171F">
      <w:pPr>
        <w:spacing w:afterLines="50" w:after="156" w:line="276" w:lineRule="auto"/>
        <w:jc w:val="center"/>
        <w:rPr>
          <w:b/>
          <w:bCs/>
          <w:color w:val="000000"/>
          <w:sz w:val="24"/>
          <w:szCs w:val="28"/>
          <w:lang w:eastAsia="en-US"/>
        </w:rPr>
      </w:pPr>
      <w:r w:rsidRPr="00DA2504">
        <w:rPr>
          <w:b/>
          <w:bCs/>
          <w:color w:val="000000"/>
          <w:sz w:val="24"/>
          <w:szCs w:val="28"/>
          <w:lang w:eastAsia="en-US"/>
        </w:rPr>
        <w:t>SHFE Bleached Softwood Kraft Pulp Futures Contract</w:t>
      </w:r>
    </w:p>
    <w:p w:rsidR="00FF171F" w:rsidRPr="00DA2504" w:rsidRDefault="00FF171F" w:rsidP="00FF171F">
      <w:pPr>
        <w:spacing w:afterLines="50" w:after="156" w:line="276" w:lineRule="auto"/>
        <w:jc w:val="center"/>
        <w:rPr>
          <w:b/>
          <w:color w:val="000000"/>
          <w:sz w:val="24"/>
          <w:szCs w:val="28"/>
          <w:lang w:eastAsia="en-US"/>
        </w:rPr>
      </w:pP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5841"/>
      </w:tblGrid>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Product</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Bleached Softwood Kraft Pulp</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Contract Size</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10 metric tons/lot</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Price Quotation</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Yuan (RMB)/metric ton</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Minimum Price Fluctuation</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2 yuan/metric ton</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Range of Price Limit</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Within 3% of the settlement price of the preceding trading day</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Listed Contracts</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Monthly contract of the most recent 12 months</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Trading Hours</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9:00 a.m. to 11:30 a.m., 1:30 p.m. to 3:00 p.m., and other hours specified by the Exchange (Beijing Time)</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Last Trading Day</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15th day of the contract month (postponed accordingly if it is a legal holiday in China and subject to separate announcement by the Exchange if it falls in the Spring Festival month or another month specially designated by the Exchange.)</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Delivery Period</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Three consecutive business days after the last trading day</w:t>
            </w:r>
          </w:p>
        </w:tc>
      </w:tr>
      <w:tr w:rsidR="00FF171F" w:rsidRPr="00DA2504" w:rsidTr="00F44B75">
        <w:trPr>
          <w:trHeight w:val="862"/>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Grade and Quality Specifications</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Bleached softwood kraft pulp, refer to Annex for detailed quality requirements</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Delivery Venue</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SHFE-designated delivery storage facilities</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Minimum Trade Margin</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4% of contract value</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Settlement Type</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Physical delivery</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Delivery Unit</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20 metric tons</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Contract Symbol</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SP</w:t>
            </w:r>
          </w:p>
        </w:tc>
      </w:tr>
      <w:tr w:rsidR="00FF171F" w:rsidRPr="00DA2504" w:rsidTr="00F44B75">
        <w:trPr>
          <w:trHeight w:val="336"/>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Listing Exchange</w:t>
            </w:r>
          </w:p>
        </w:tc>
        <w:tc>
          <w:tcPr>
            <w:tcW w:w="5841" w:type="dxa"/>
            <w:tcBorders>
              <w:top w:val="single" w:sz="4" w:space="0" w:color="auto"/>
              <w:left w:val="single" w:sz="4" w:space="0" w:color="auto"/>
              <w:bottom w:val="single" w:sz="4" w:space="0" w:color="auto"/>
              <w:right w:val="single" w:sz="4" w:space="0" w:color="auto"/>
            </w:tcBorders>
            <w:vAlign w:val="center"/>
            <w:hideMark/>
          </w:tcPr>
          <w:p w:rsidR="00FF171F" w:rsidRPr="00DA2504" w:rsidRDefault="00FF171F" w:rsidP="00F44B75">
            <w:pPr>
              <w:snapToGrid w:val="0"/>
              <w:spacing w:beforeLines="30" w:before="93" w:afterLines="30" w:after="93" w:line="276" w:lineRule="auto"/>
              <w:jc w:val="left"/>
              <w:rPr>
                <w:color w:val="000000"/>
                <w:szCs w:val="22"/>
                <w:lang w:eastAsia="en-US"/>
              </w:rPr>
            </w:pPr>
            <w:r w:rsidRPr="00DA2504">
              <w:rPr>
                <w:color w:val="000000"/>
                <w:szCs w:val="22"/>
                <w:lang w:eastAsia="en-US"/>
              </w:rPr>
              <w:t>Shanghai Futures Exchange</w:t>
            </w:r>
          </w:p>
        </w:tc>
      </w:tr>
    </w:tbl>
    <w:p w:rsidR="0071042D" w:rsidRPr="00FF171F" w:rsidRDefault="0071042D" w:rsidP="00FF171F">
      <w:bookmarkStart w:id="2" w:name="_GoBack"/>
      <w:bookmarkEnd w:id="2"/>
    </w:p>
    <w:sectPr w:rsidR="0071042D" w:rsidRPr="00FF1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4E11F2"/>
    <w:rsid w:val="0071042D"/>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3269</Words>
  <Characters>18636</Characters>
  <Application>Microsoft Office Word</Application>
  <DocSecurity>0</DocSecurity>
  <Lines>155</Lines>
  <Paragraphs>43</Paragraphs>
  <ScaleCrop>false</ScaleCrop>
  <Company>SHFE</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2020-08-18T09:28:00Z</dcterms:created>
  <dcterms:modified xsi:type="dcterms:W3CDTF">2020-08-18T09:28:00Z</dcterms:modified>
</cp:coreProperties>
</file>