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2E1" w:rsidRPr="00843793" w:rsidRDefault="00BE12E1" w:rsidP="00BE12E1">
      <w:pPr>
        <w:keepNext/>
        <w:keepLines/>
        <w:outlineLvl w:val="0"/>
        <w:rPr>
          <w:rFonts w:ascii="Times New Roman" w:eastAsia="方正大标宋简体" w:hAnsi="Times New Roman"/>
          <w:b/>
          <w:bCs/>
          <w:kern w:val="44"/>
          <w:sz w:val="32"/>
          <w:szCs w:val="32"/>
        </w:rPr>
      </w:pPr>
      <w:bookmarkStart w:id="0" w:name="_Toc47598191"/>
      <w:bookmarkStart w:id="1" w:name="_GoBack"/>
      <w:r>
        <w:rPr>
          <w:rFonts w:ascii="Times New Roman" w:eastAsia="方正大标宋简体" w:hAnsi="Times New Roman" w:hint="eastAsia"/>
          <w:b/>
          <w:bCs/>
          <w:kern w:val="44"/>
          <w:sz w:val="32"/>
          <w:szCs w:val="32"/>
        </w:rPr>
        <w:t>Appendix</w:t>
      </w:r>
      <w:r w:rsidRPr="00843793">
        <w:rPr>
          <w:rFonts w:ascii="Times New Roman" w:eastAsia="方正大标宋简体" w:hAnsi="Times New Roman" w:hint="eastAsia"/>
          <w:b/>
          <w:bCs/>
          <w:kern w:val="44"/>
          <w:sz w:val="32"/>
          <w:szCs w:val="32"/>
        </w:rPr>
        <w:t xml:space="preserve"> 1</w:t>
      </w:r>
      <w:bookmarkEnd w:id="0"/>
    </w:p>
    <w:tbl>
      <w:tblPr>
        <w:tblpPr w:leftFromText="180" w:rightFromText="180" w:vertAnchor="text" w:horzAnchor="margin" w:tblpXSpec="center" w:tblpY="657"/>
        <w:tblOverlap w:val="never"/>
        <w:tblW w:w="1506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4A0" w:firstRow="1" w:lastRow="0" w:firstColumn="1" w:lastColumn="0" w:noHBand="0" w:noVBand="1"/>
      </w:tblPr>
      <w:tblGrid>
        <w:gridCol w:w="7532"/>
        <w:gridCol w:w="7529"/>
      </w:tblGrid>
      <w:tr w:rsidR="00BE12E1" w:rsidRPr="006816E5" w:rsidTr="00106943">
        <w:trPr>
          <w:trHeight w:val="106"/>
        </w:trPr>
        <w:tc>
          <w:tcPr>
            <w:tcW w:w="7532" w:type="dxa"/>
            <w:tcBorders>
              <w:bottom w:val="single" w:sz="8" w:space="0" w:color="4BACC6"/>
            </w:tcBorders>
            <w:shd w:val="clear" w:color="auto" w:fill="4BACC6"/>
          </w:tcPr>
          <w:bookmarkEnd w:id="1"/>
          <w:p w:rsidR="00BE12E1" w:rsidRPr="00BD70EF" w:rsidRDefault="00BE12E1" w:rsidP="00106943">
            <w:pPr>
              <w:spacing w:line="480" w:lineRule="exact"/>
              <w:jc w:val="center"/>
              <w:rPr>
                <w:rFonts w:ascii="Times New Roman" w:eastAsia="方正仿宋简体" w:hAnsi="Times New Roman"/>
                <w:bCs/>
                <w:sz w:val="28"/>
                <w:szCs w:val="28"/>
                <w:shd w:val="clear" w:color="auto" w:fill="FF0000"/>
              </w:rPr>
            </w:pP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>REVISED</w:t>
            </w:r>
          </w:p>
        </w:tc>
        <w:tc>
          <w:tcPr>
            <w:tcW w:w="7529" w:type="dxa"/>
            <w:tcBorders>
              <w:bottom w:val="single" w:sz="8" w:space="0" w:color="4BACC6"/>
            </w:tcBorders>
            <w:shd w:val="clear" w:color="auto" w:fill="4BACC6"/>
          </w:tcPr>
          <w:p w:rsidR="00BE12E1" w:rsidRPr="00BD70EF" w:rsidRDefault="00BE12E1" w:rsidP="00106943">
            <w:pPr>
              <w:tabs>
                <w:tab w:val="left" w:pos="210"/>
                <w:tab w:val="center" w:pos="2869"/>
              </w:tabs>
              <w:spacing w:line="480" w:lineRule="exact"/>
              <w:jc w:val="center"/>
              <w:rPr>
                <w:rFonts w:ascii="Times New Roman" w:eastAsia="方正仿宋简体" w:hAnsi="Times New Roman"/>
                <w:b/>
                <w:bCs/>
                <w:color w:val="FFFFFF"/>
                <w:sz w:val="28"/>
                <w:szCs w:val="28"/>
              </w:rPr>
            </w:pPr>
            <w:r w:rsidRPr="006816E5">
              <w:rPr>
                <w:rFonts w:ascii="Times New Roman" w:eastAsia="方正仿宋简体" w:hint="eastAsia"/>
                <w:b/>
                <w:bCs/>
                <w:color w:val="FFFFFF"/>
                <w:sz w:val="28"/>
                <w:szCs w:val="28"/>
              </w:rPr>
              <w:t xml:space="preserve">VERSION </w:t>
            </w:r>
            <w:r w:rsidRPr="006816E5">
              <w:t xml:space="preserve"> </w:t>
            </w:r>
            <w:r w:rsidRPr="006816E5">
              <w:rPr>
                <w:rFonts w:ascii="Times New Roman" w:eastAsia="方正仿宋简体"/>
                <w:b/>
                <w:bCs/>
                <w:color w:val="FFFFFF"/>
                <w:sz w:val="28"/>
                <w:szCs w:val="28"/>
              </w:rPr>
              <w:t>October 16, 2018</w:t>
            </w:r>
          </w:p>
        </w:tc>
      </w:tr>
      <w:tr w:rsidR="00BE12E1" w:rsidRPr="006816E5" w:rsidTr="00106943">
        <w:trPr>
          <w:trHeight w:val="628"/>
        </w:trPr>
        <w:tc>
          <w:tcPr>
            <w:tcW w:w="15061" w:type="dxa"/>
            <w:gridSpan w:val="2"/>
            <w:shd w:val="clear" w:color="auto" w:fill="FFFFFF"/>
            <w:vAlign w:val="center"/>
          </w:tcPr>
          <w:p w:rsidR="00BE12E1" w:rsidRPr="006816E5" w:rsidRDefault="00BE12E1" w:rsidP="00106943">
            <w:pPr>
              <w:tabs>
                <w:tab w:val="left" w:pos="210"/>
                <w:tab w:val="center" w:pos="2869"/>
              </w:tabs>
              <w:ind w:firstLineChars="200" w:firstLine="482"/>
              <w:jc w:val="center"/>
              <w:rPr>
                <w:rFonts w:ascii="Times New Roman" w:eastAsia="方正仿宋简体"/>
                <w:b/>
                <w:color w:val="FF0000"/>
                <w:sz w:val="24"/>
                <w:szCs w:val="24"/>
              </w:rPr>
            </w:pPr>
            <w:r w:rsidRPr="00843793">
              <w:rPr>
                <w:rFonts w:ascii="Times New Roman" w:eastAsia="方正仿宋简体" w:hAnsi="Times New Roman"/>
                <w:b/>
                <w:sz w:val="24"/>
                <w:szCs w:val="24"/>
              </w:rPr>
              <w:t>Market-Making Management Rules of Shanghai Futures Exchange</w:t>
            </w:r>
          </w:p>
        </w:tc>
      </w:tr>
      <w:tr w:rsidR="00BE12E1" w:rsidRPr="006816E5" w:rsidTr="00106943">
        <w:trPr>
          <w:trHeight w:val="106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6816E5" w:rsidRDefault="00BE12E1" w:rsidP="00106943">
            <w:pPr>
              <w:tabs>
                <w:tab w:val="left" w:pos="1260"/>
              </w:tabs>
              <w:spacing w:afterLines="100" w:after="312" w:line="276" w:lineRule="auto"/>
              <w:ind w:left="2" w:firstLineChars="250" w:firstLine="600"/>
              <w:rPr>
                <w:rFonts w:ascii="Times New Roman" w:hAnsi="Times New Roman"/>
                <w:color w:val="FF0000"/>
                <w:sz w:val="24"/>
                <w:u w:color="000000"/>
              </w:rPr>
            </w:pPr>
            <w:r w:rsidRPr="009C60F1">
              <w:rPr>
                <w:rFonts w:ascii="Times New Roman" w:eastAsia="Calibri" w:hAnsi="Times New Roman"/>
                <w:color w:val="FF0000"/>
                <w:sz w:val="24"/>
                <w:u w:color="000000"/>
                <w:lang w:eastAsia="en-US"/>
              </w:rPr>
              <w:t>Article 5</w:t>
            </w:r>
            <w:r w:rsidRPr="006816E5">
              <w:rPr>
                <w:rFonts w:ascii="Times New Roman" w:hAnsi="Times New Roman"/>
                <w:color w:val="FF0000"/>
                <w:sz w:val="24"/>
                <w:u w:color="000000"/>
              </w:rPr>
              <w:t xml:space="preserve"> The Exchange may regulate the Market Makers through hierarchical management, and may adjust the number and structure of the Market Makers based on market conditions.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BD70EF" w:rsidRDefault="00BE12E1" w:rsidP="00106943">
            <w:pPr>
              <w:autoSpaceDE w:val="0"/>
              <w:autoSpaceDN w:val="0"/>
              <w:adjustRightInd w:val="0"/>
              <w:spacing w:line="520" w:lineRule="exact"/>
              <w:ind w:firstLineChars="200" w:firstLine="600"/>
              <w:rPr>
                <w:rFonts w:ascii="Times New Roman" w:eastAsia="方正仿宋简体" w:hAnsi="Times New Roman"/>
                <w:color w:val="000000"/>
                <w:kern w:val="0"/>
                <w:sz w:val="30"/>
                <w:szCs w:val="30"/>
              </w:rPr>
            </w:pPr>
          </w:p>
        </w:tc>
      </w:tr>
      <w:tr w:rsidR="00BE12E1" w:rsidRPr="006816E5" w:rsidTr="00106943">
        <w:trPr>
          <w:trHeight w:val="106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4A012D" w:rsidRDefault="00BE12E1" w:rsidP="00106943">
            <w:pPr>
              <w:tabs>
                <w:tab w:val="left" w:pos="1260"/>
              </w:tabs>
              <w:spacing w:afterLines="100" w:after="312" w:line="276" w:lineRule="auto"/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</w:pPr>
            <w:r w:rsidRPr="006816E5">
              <w:rPr>
                <w:rFonts w:ascii="Times New Roman" w:hAnsi="Times New Roman"/>
                <w:b/>
                <w:color w:val="000000"/>
                <w:sz w:val="24"/>
                <w:u w:color="000000"/>
              </w:rPr>
              <w:t xml:space="preserve">     </w:t>
            </w: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t>Article</w:t>
            </w:r>
            <w:r w:rsidRPr="006816E5">
              <w:rPr>
                <w:rFonts w:ascii="Times New Roman" w:hAnsi="Times New Roman"/>
                <w:b/>
                <w:color w:val="FF0000"/>
                <w:sz w:val="24"/>
                <w:u w:color="000000"/>
              </w:rPr>
              <w:t>9</w:t>
            </w:r>
            <w:r w:rsidRPr="00564DFC">
              <w:rPr>
                <w:rFonts w:ascii="Times New Roman" w:eastAsia="Calibri" w:hAnsi="Times New Roman" w:hint="eastAsia"/>
                <w:dstrike/>
                <w:color w:val="000000"/>
                <w:sz w:val="24"/>
                <w:u w:color="000000"/>
                <w:shd w:val="pct15" w:color="auto" w:fill="FFFFFF"/>
                <w:lang w:eastAsia="en-US"/>
              </w:rPr>
              <w:t>8</w:t>
            </w: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tab/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>The Exchange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 may revoke a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M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arket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>M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aker’s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>qualification for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 a product if the Market Maker:</w:t>
            </w:r>
          </w:p>
          <w:p w:rsidR="00BE12E1" w:rsidRPr="004A012D" w:rsidRDefault="00BE12E1" w:rsidP="00106943">
            <w:pPr>
              <w:spacing w:afterLines="100" w:after="312" w:line="276" w:lineRule="auto"/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(1)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fails to perform its quoting obligations as agreed;</w:t>
            </w:r>
          </w:p>
          <w:p w:rsidR="00BE12E1" w:rsidRPr="004A012D" w:rsidRDefault="00BE12E1" w:rsidP="00106943">
            <w:pPr>
              <w:spacing w:afterLines="100" w:after="312" w:line="276" w:lineRule="auto"/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(2)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no longer satisfies the requirements for a Market Maker prescribed in Article</w:t>
            </w:r>
            <w:r w:rsidRPr="006816E5">
              <w:rPr>
                <w:rFonts w:ascii="Times New Roman" w:hAnsi="Times New Roman" w:hint="eastAsia"/>
                <w:color w:val="000000"/>
                <w:sz w:val="24"/>
                <w:u w:color="000000"/>
              </w:rPr>
              <w:t xml:space="preserve"> </w:t>
            </w:r>
            <w:r w:rsidRPr="006816E5">
              <w:rPr>
                <w:rFonts w:ascii="Times New Roman" w:hAnsi="Times New Roman" w:hint="eastAsia"/>
                <w:b/>
                <w:color w:val="FF0000"/>
                <w:sz w:val="24"/>
                <w:u w:color="000000"/>
              </w:rPr>
              <w:t>6</w:t>
            </w:r>
            <w:r w:rsidRPr="002B36C2">
              <w:rPr>
                <w:rFonts w:ascii="Times New Roman" w:eastAsia="Calibri" w:hAnsi="Times New Roman"/>
                <w:dstrike/>
                <w:color w:val="000000"/>
                <w:sz w:val="24"/>
                <w:u w:color="000000"/>
                <w:shd w:val="pct15" w:color="auto" w:fill="FFFFFF"/>
                <w:lang w:eastAsia="en-US"/>
              </w:rPr>
              <w:t>5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 of these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Rules; or</w:t>
            </w:r>
          </w:p>
          <w:p w:rsidR="00BE12E1" w:rsidRPr="006816E5" w:rsidRDefault="00BE12E1" w:rsidP="00106943">
            <w:pPr>
              <w:spacing w:afterLines="100" w:after="312" w:line="276" w:lineRule="auto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(3)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is involved in any other circumstances prescribed by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the Exchange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or provided in the Agreement.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4A012D" w:rsidRDefault="00BE12E1" w:rsidP="00106943">
            <w:pPr>
              <w:tabs>
                <w:tab w:val="left" w:pos="1260"/>
              </w:tabs>
              <w:spacing w:afterLines="100" w:after="312" w:line="276" w:lineRule="auto"/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</w:pPr>
            <w:r w:rsidRPr="006816E5">
              <w:rPr>
                <w:rFonts w:ascii="Times New Roman" w:hAnsi="Times New Roman"/>
                <w:b/>
                <w:color w:val="000000"/>
                <w:sz w:val="24"/>
                <w:u w:color="000000"/>
              </w:rPr>
              <w:t xml:space="preserve">     </w:t>
            </w: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t>Article</w:t>
            </w:r>
            <w:r w:rsidRPr="006816E5">
              <w:rPr>
                <w:rFonts w:ascii="Times New Roman" w:hAnsi="Times New Roman"/>
                <w:b/>
                <w:color w:val="000000"/>
                <w:sz w:val="24"/>
                <w:u w:color="000000"/>
              </w:rPr>
              <w:t xml:space="preserve"> </w:t>
            </w:r>
            <w:r w:rsidRPr="006816E5">
              <w:rPr>
                <w:rFonts w:ascii="Times New Roman" w:hAnsi="Times New Roman" w:hint="eastAsia"/>
                <w:b/>
                <w:color w:val="000000"/>
                <w:sz w:val="24"/>
                <w:u w:color="000000"/>
              </w:rPr>
              <w:t xml:space="preserve">8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>The Exchange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 may revoke a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M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arket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>M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aker’s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>qualification for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 a product if the Market Maker:</w:t>
            </w:r>
          </w:p>
          <w:p w:rsidR="00BE12E1" w:rsidRPr="004A012D" w:rsidRDefault="00BE12E1" w:rsidP="00106943">
            <w:pPr>
              <w:spacing w:afterLines="100" w:after="312" w:line="276" w:lineRule="auto"/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(1)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fails to perform its quoting obligations as agreed;</w:t>
            </w:r>
          </w:p>
          <w:p w:rsidR="00BE12E1" w:rsidRPr="004A012D" w:rsidRDefault="00BE12E1" w:rsidP="00106943">
            <w:pPr>
              <w:spacing w:afterLines="100" w:after="312" w:line="276" w:lineRule="auto"/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(2)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no longer satisfies the requirements for a Market Maker prescribed in Article 5 of these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Rules; or</w:t>
            </w:r>
          </w:p>
          <w:p w:rsidR="00BE12E1" w:rsidRPr="006816E5" w:rsidRDefault="00BE12E1" w:rsidP="00106943">
            <w:pPr>
              <w:spacing w:afterLines="100" w:after="312" w:line="276" w:lineRule="auto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(3)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 xml:space="preserve">is involved in any other circumstances prescribed by 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the Exchange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or provided in the Agreement.</w:t>
            </w:r>
          </w:p>
        </w:tc>
      </w:tr>
      <w:tr w:rsidR="00BE12E1" w:rsidRPr="006816E5" w:rsidTr="00106943">
        <w:trPr>
          <w:trHeight w:val="2543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6816E5" w:rsidRDefault="00BE12E1" w:rsidP="00106943">
            <w:pPr>
              <w:tabs>
                <w:tab w:val="left" w:pos="1260"/>
              </w:tabs>
              <w:spacing w:afterLines="100" w:after="312" w:line="276" w:lineRule="auto"/>
              <w:ind w:firstLineChars="235" w:firstLine="566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lastRenderedPageBreak/>
              <w:t>Article 2</w:t>
            </w:r>
            <w:r w:rsidRPr="006816E5">
              <w:rPr>
                <w:rFonts w:ascii="Times New Roman" w:hAnsi="Times New Roman"/>
                <w:b/>
                <w:color w:val="FF0000"/>
                <w:sz w:val="24"/>
                <w:u w:color="000000"/>
              </w:rPr>
              <w:t>6</w:t>
            </w:r>
            <w:r w:rsidRPr="006816E5">
              <w:rPr>
                <w:rFonts w:ascii="Times New Roman" w:hAnsi="Times New Roman" w:hint="eastAsia"/>
                <w:b/>
                <w:dstrike/>
                <w:color w:val="000000"/>
                <w:sz w:val="24"/>
                <w:u w:color="000000"/>
              </w:rPr>
              <w:t>5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ab/>
            </w:r>
            <w:r w:rsidRPr="006816E5">
              <w:rPr>
                <w:rFonts w:ascii="Times New Roman" w:hAnsi="Times New Roman"/>
                <w:b/>
                <w:color w:val="FF0000"/>
                <w:sz w:val="24"/>
                <w:u w:color="000000"/>
              </w:rPr>
              <w:t>Trading behaviors such as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6816E5">
              <w:rPr>
                <w:rFonts w:ascii="Times New Roman" w:hAnsi="Times New Roman"/>
                <w:b/>
                <w:color w:val="FF0000"/>
                <w:sz w:val="24"/>
                <w:u w:color="000000"/>
              </w:rPr>
              <w:t>f</w:t>
            </w:r>
            <w:r w:rsidRPr="006816E5">
              <w:rPr>
                <w:rFonts w:ascii="Times New Roman" w:hAnsi="Times New Roman" w:hint="eastAsia"/>
                <w:dstrike/>
                <w:sz w:val="24"/>
                <w:u w:color="000000"/>
              </w:rPr>
              <w:t>F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requent order cancellation caused by market-making business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will not be deemed as abnormal trading behavior.</w:t>
            </w:r>
          </w:p>
          <w:p w:rsidR="00BE12E1" w:rsidRPr="006816E5" w:rsidRDefault="00BE12E1" w:rsidP="00106943">
            <w:pPr>
              <w:tabs>
                <w:tab w:val="left" w:pos="1260"/>
              </w:tabs>
              <w:spacing w:afterLines="100" w:after="312" w:line="276" w:lineRule="auto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A Market Maker shall not abuse the Market Maker qualifications to engage in insider trading, market manipulation, fraud, or other illegal or rule-violation activities, or to seek illegitimate gains.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6816E5" w:rsidRDefault="00BE12E1" w:rsidP="00106943">
            <w:pPr>
              <w:tabs>
                <w:tab w:val="left" w:pos="1260"/>
              </w:tabs>
              <w:spacing w:afterLines="100" w:after="312" w:line="276" w:lineRule="auto"/>
              <w:ind w:firstLineChars="227" w:firstLine="547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t>Article 2</w:t>
            </w:r>
            <w:r w:rsidRPr="006816E5">
              <w:rPr>
                <w:rFonts w:ascii="Times New Roman" w:hAnsi="Times New Roman" w:hint="eastAsia"/>
                <w:b/>
                <w:color w:val="000000"/>
                <w:sz w:val="24"/>
                <w:u w:color="000000"/>
              </w:rPr>
              <w:t>5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ab/>
            </w:r>
            <w:r w:rsidRPr="006816E5">
              <w:rPr>
                <w:rFonts w:ascii="Times New Roman" w:hAnsi="Times New Roman" w:hint="eastAsia"/>
                <w:sz w:val="24"/>
                <w:u w:color="000000"/>
              </w:rPr>
              <w:t>F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requent order cancellation caused by market-making business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will not be deemed as abnormal trading behavior.</w:t>
            </w:r>
          </w:p>
          <w:p w:rsidR="00BE12E1" w:rsidRPr="006816E5" w:rsidRDefault="00BE12E1" w:rsidP="00106943">
            <w:pPr>
              <w:tabs>
                <w:tab w:val="left" w:pos="1260"/>
              </w:tabs>
              <w:spacing w:afterLines="100" w:after="312" w:line="276" w:lineRule="auto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    A Market Maker shall not abuse the Market Maker qualifications to engage in insider trading, market manipulation, fraud, or other illegal or rule-violation activities, or to seek illegitimate gains.</w:t>
            </w:r>
          </w:p>
        </w:tc>
      </w:tr>
      <w:tr w:rsidR="00BE12E1" w:rsidRPr="006816E5" w:rsidTr="00106943">
        <w:trPr>
          <w:trHeight w:val="1419"/>
        </w:trPr>
        <w:tc>
          <w:tcPr>
            <w:tcW w:w="753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6816E5" w:rsidRDefault="00BE12E1" w:rsidP="00106943">
            <w:pPr>
              <w:tabs>
                <w:tab w:val="left" w:pos="1260"/>
              </w:tabs>
              <w:spacing w:afterLines="100" w:after="312" w:line="276" w:lineRule="auto"/>
              <w:rPr>
                <w:rFonts w:ascii="Times New Roman" w:hAnsi="Times New Roman"/>
                <w:color w:val="000000"/>
                <w:sz w:val="24"/>
                <w:u w:color="000000"/>
              </w:rPr>
            </w:pPr>
            <w:r w:rsidRPr="006816E5">
              <w:rPr>
                <w:rFonts w:ascii="Times New Roman" w:hAnsi="Times New Roman"/>
                <w:b/>
                <w:color w:val="000000"/>
                <w:sz w:val="24"/>
                <w:u w:color="000000"/>
              </w:rPr>
              <w:t xml:space="preserve">     </w:t>
            </w: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t>Article 3</w:t>
            </w:r>
            <w:r w:rsidRPr="006816E5">
              <w:rPr>
                <w:rFonts w:ascii="Times New Roman" w:hAnsi="Times New Roman"/>
                <w:b/>
                <w:color w:val="FF0000"/>
                <w:sz w:val="24"/>
                <w:u w:color="000000"/>
              </w:rPr>
              <w:t>4</w:t>
            </w:r>
            <w:r w:rsidRPr="006816E5">
              <w:rPr>
                <w:rFonts w:ascii="Times New Roman" w:hAnsi="Times New Roman" w:hint="eastAsia"/>
                <w:b/>
                <w:dstrike/>
                <w:color w:val="000000"/>
                <w:sz w:val="24"/>
                <w:u w:color="000000"/>
              </w:rPr>
              <w:t>3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ab/>
              <w:t>These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Rules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shall be effective as of</w:t>
            </w:r>
            <w:r w:rsidRPr="00564DFC">
              <w:rPr>
                <w:rFonts w:ascii="Times New Roman" w:hAnsi="Times New Roman" w:hint="eastAsia"/>
                <w:b/>
                <w:sz w:val="24"/>
                <w:u w:color="000000"/>
              </w:rPr>
              <w:t xml:space="preserve"> October </w:t>
            </w:r>
            <w:r w:rsidRPr="00564DFC">
              <w:rPr>
                <w:rFonts w:ascii="Times New Roman" w:hAnsi="Times New Roman" w:hint="eastAsia"/>
                <w:b/>
                <w:color w:val="FF0000"/>
                <w:sz w:val="24"/>
                <w:u w:color="000000"/>
              </w:rPr>
              <w:t>23</w:t>
            </w:r>
            <w:r w:rsidRPr="00564DFC">
              <w:rPr>
                <w:rFonts w:ascii="Times New Roman" w:hAnsi="Times New Roman" w:hint="eastAsia"/>
                <w:b/>
                <w:dstrike/>
                <w:sz w:val="24"/>
                <w:u w:color="000000"/>
                <w:shd w:val="pct15" w:color="auto" w:fill="FFFFFF"/>
              </w:rPr>
              <w:t>16</w:t>
            </w:r>
            <w:r w:rsidRPr="00564DFC">
              <w:rPr>
                <w:rFonts w:ascii="Times New Roman" w:hAnsi="Times New Roman"/>
                <w:b/>
                <w:sz w:val="24"/>
                <w:u w:color="000000"/>
              </w:rPr>
              <w:t xml:space="preserve">, </w:t>
            </w:r>
            <w:r w:rsidRPr="006816E5">
              <w:rPr>
                <w:rFonts w:ascii="Times New Roman" w:hAnsi="Times New Roman"/>
                <w:b/>
                <w:color w:val="FF0000"/>
                <w:sz w:val="24"/>
                <w:u w:color="000000"/>
              </w:rPr>
              <w:t>2020</w:t>
            </w:r>
            <w:r w:rsidRPr="00564DFC">
              <w:rPr>
                <w:rFonts w:ascii="Times New Roman" w:hAnsi="Times New Roman" w:hint="eastAsia"/>
                <w:b/>
                <w:dstrike/>
                <w:sz w:val="24"/>
                <w:u w:color="000000"/>
                <w:shd w:val="pct15" w:color="auto" w:fill="FFFFFF"/>
              </w:rPr>
              <w:t xml:space="preserve"> 2018</w:t>
            </w:r>
            <w:r w:rsidRPr="006816E5">
              <w:rPr>
                <w:rFonts w:ascii="Times New Roman" w:hAnsi="Times New Roman" w:hint="eastAsia"/>
                <w:sz w:val="24"/>
                <w:u w:color="000000"/>
              </w:rPr>
              <w:t>.</w:t>
            </w:r>
          </w:p>
        </w:tc>
        <w:tc>
          <w:tcPr>
            <w:tcW w:w="7529" w:type="dxa"/>
            <w:tcBorders>
              <w:top w:val="single" w:sz="8" w:space="0" w:color="4BACC6"/>
              <w:bottom w:val="single" w:sz="8" w:space="0" w:color="4BACC6"/>
            </w:tcBorders>
            <w:shd w:val="clear" w:color="auto" w:fill="auto"/>
          </w:tcPr>
          <w:p w:rsidR="00BE12E1" w:rsidRPr="006816E5" w:rsidRDefault="00BE12E1" w:rsidP="00106943">
            <w:pPr>
              <w:ind w:firstLineChars="200" w:firstLine="482"/>
              <w:rPr>
                <w:rFonts w:ascii="Times New Roman" w:hAnsi="Times New Roman"/>
                <w:bCs/>
                <w:kern w:val="0"/>
                <w:sz w:val="32"/>
                <w:szCs w:val="32"/>
              </w:rPr>
            </w:pPr>
            <w:r w:rsidRPr="004A012D">
              <w:rPr>
                <w:rFonts w:ascii="Times New Roman" w:eastAsia="Calibri" w:hAnsi="Times New Roman"/>
                <w:b/>
                <w:color w:val="000000"/>
                <w:sz w:val="24"/>
                <w:u w:color="000000"/>
                <w:lang w:eastAsia="en-US"/>
              </w:rPr>
              <w:t>Article 3</w:t>
            </w:r>
            <w:r w:rsidRPr="006816E5">
              <w:rPr>
                <w:rFonts w:ascii="Times New Roman" w:hAnsi="Times New Roman" w:hint="eastAsia"/>
                <w:b/>
                <w:color w:val="000000"/>
                <w:sz w:val="24"/>
                <w:u w:color="000000"/>
              </w:rPr>
              <w:t>3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ab/>
              <w:t>These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Rules</w:t>
            </w:r>
            <w:r w:rsidRPr="006816E5">
              <w:rPr>
                <w:rFonts w:ascii="Times New Roman" w:hAnsi="Times New Roman"/>
                <w:color w:val="000000"/>
                <w:sz w:val="24"/>
                <w:u w:color="000000"/>
              </w:rPr>
              <w:t xml:space="preserve"> </w:t>
            </w:r>
            <w:r w:rsidRPr="004A012D">
              <w:rPr>
                <w:rFonts w:ascii="Times New Roman" w:eastAsia="Calibri" w:hAnsi="Times New Roman"/>
                <w:color w:val="000000"/>
                <w:sz w:val="24"/>
                <w:u w:color="000000"/>
                <w:lang w:eastAsia="en-US"/>
              </w:rPr>
              <w:t>shall be effective as of</w:t>
            </w:r>
            <w:r w:rsidRPr="006816E5">
              <w:rPr>
                <w:rFonts w:ascii="Times New Roman" w:hAnsi="Times New Roman" w:hint="eastAsia"/>
                <w:b/>
                <w:color w:val="FF0000"/>
                <w:sz w:val="24"/>
                <w:u w:color="000000"/>
              </w:rPr>
              <w:t xml:space="preserve"> </w:t>
            </w:r>
            <w:r w:rsidRPr="006816E5">
              <w:rPr>
                <w:rFonts w:ascii="Times New Roman" w:hAnsi="Times New Roman" w:hint="eastAsia"/>
                <w:sz w:val="24"/>
                <w:u w:color="000000"/>
              </w:rPr>
              <w:t>October 16, 2018.</w:t>
            </w:r>
          </w:p>
        </w:tc>
      </w:tr>
    </w:tbl>
    <w:p w:rsidR="000D489D" w:rsidRPr="00BE12E1" w:rsidRDefault="000D489D" w:rsidP="00BE12E1"/>
    <w:sectPr w:rsidR="000D489D" w:rsidRPr="00BE12E1" w:rsidSect="00BE12E1">
      <w:footerReference w:type="default" r:id="rId4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36C2" w:rsidRPr="002B36C2" w:rsidRDefault="00BE12E1">
    <w:pPr>
      <w:pStyle w:val="a3"/>
      <w:jc w:val="center"/>
      <w:rPr>
        <w:rFonts w:ascii="Times New Roman" w:hAnsi="Times New Roman"/>
        <w:sz w:val="24"/>
        <w:szCs w:val="24"/>
      </w:rPr>
    </w:pPr>
    <w:r w:rsidRPr="002B36C2">
      <w:rPr>
        <w:rFonts w:ascii="Times New Roman" w:hAnsi="Times New Roman"/>
        <w:sz w:val="24"/>
        <w:szCs w:val="24"/>
      </w:rPr>
      <w:fldChar w:fldCharType="begin"/>
    </w:r>
    <w:r w:rsidRPr="002B36C2">
      <w:rPr>
        <w:rFonts w:ascii="Times New Roman" w:hAnsi="Times New Roman"/>
        <w:sz w:val="24"/>
        <w:szCs w:val="24"/>
      </w:rPr>
      <w:instrText xml:space="preserve"> PAGE   \* MERGEFORMAT </w:instrText>
    </w:r>
    <w:r w:rsidRPr="002B36C2">
      <w:rPr>
        <w:rFonts w:ascii="Times New Roman" w:hAnsi="Times New Roman"/>
        <w:sz w:val="24"/>
        <w:szCs w:val="24"/>
      </w:rPr>
      <w:fldChar w:fldCharType="separate"/>
    </w:r>
    <w:r w:rsidRPr="00BE12E1">
      <w:rPr>
        <w:rFonts w:ascii="Times New Roman" w:hAnsi="Times New Roman"/>
        <w:noProof/>
        <w:sz w:val="24"/>
        <w:szCs w:val="24"/>
        <w:lang w:val="zh-CN"/>
      </w:rPr>
      <w:t>2</w:t>
    </w:r>
    <w:r w:rsidRPr="002B36C2">
      <w:rPr>
        <w:rFonts w:ascii="Times New Roman" w:hAnsi="Times New Roman"/>
        <w:sz w:val="24"/>
        <w:szCs w:val="24"/>
      </w:rPr>
      <w:fldChar w:fldCharType="end"/>
    </w:r>
  </w:p>
  <w:p w:rsidR="00ED33E0" w:rsidRDefault="00BE12E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2E1"/>
    <w:rsid w:val="000D489D"/>
    <w:rsid w:val="00BE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40707C-2EB6-496A-9A79-86FDFBBAF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2E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BE1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BE12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1592</Characters>
  <Application>Microsoft Office Word</Application>
  <DocSecurity>0</DocSecurity>
  <Lines>13</Lines>
  <Paragraphs>3</Paragraphs>
  <ScaleCrop>false</ScaleCrop>
  <Company>SHFE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朱凤侠</dc:creator>
  <cp:keywords/>
  <dc:description/>
  <cp:lastModifiedBy>朱凤侠</cp:lastModifiedBy>
  <cp:revision>1</cp:revision>
  <dcterms:created xsi:type="dcterms:W3CDTF">2020-10-23T08:38:00Z</dcterms:created>
  <dcterms:modified xsi:type="dcterms:W3CDTF">2020-10-23T08:40:00Z</dcterms:modified>
</cp:coreProperties>
</file>