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2C" w:rsidRDefault="00EA4E2C" w:rsidP="00EA4E2C">
      <w:pPr>
        <w:rPr>
          <w:rFonts w:ascii="Times New Roman" w:hAnsi="Times New Roman"/>
          <w:b/>
          <w:bCs/>
          <w:sz w:val="22"/>
        </w:rPr>
      </w:pPr>
      <w:r>
        <w:rPr>
          <w:rFonts w:ascii="Times New Roman" w:hAnsi="Times New Roman" w:hint="eastAsia"/>
          <w:b/>
          <w:bCs/>
          <w:sz w:val="22"/>
        </w:rPr>
        <w:t xml:space="preserve">Appendix </w:t>
      </w:r>
      <w:r>
        <w:rPr>
          <w:rFonts w:ascii="Times New Roman" w:hAnsi="Times New Roman" w:hint="eastAsia"/>
          <w:b/>
          <w:bCs/>
          <w:sz w:val="22"/>
        </w:rPr>
        <w:t>1</w:t>
      </w:r>
    </w:p>
    <w:p w:rsidR="00EA4E2C" w:rsidRDefault="00EA4E2C" w:rsidP="00EA4E2C"/>
    <w:p w:rsidR="00EA4E2C" w:rsidRPr="00FC6914" w:rsidRDefault="00EA4E2C" w:rsidP="00EA4E2C">
      <w:pPr>
        <w:keepNext/>
        <w:keepLines/>
        <w:snapToGrid w:val="0"/>
        <w:spacing w:afterLines="100" w:after="312" w:line="276" w:lineRule="auto"/>
        <w:jc w:val="center"/>
        <w:rPr>
          <w:rFonts w:ascii="Times New Roman" w:eastAsia="方正大标宋简体" w:hAnsi="Times New Roman"/>
          <w:b/>
          <w:kern w:val="44"/>
          <w:sz w:val="30"/>
          <w:szCs w:val="30"/>
        </w:rPr>
      </w:pPr>
      <w:r>
        <w:rPr>
          <w:rFonts w:ascii="Times New Roman" w:eastAsia="方正大标宋简体" w:hAnsi="Times New Roman"/>
          <w:b/>
          <w:kern w:val="44"/>
          <w:sz w:val="30"/>
          <w:szCs w:val="30"/>
        </w:rPr>
        <w:t>Revisions</w:t>
      </w:r>
      <w:r w:rsidRPr="00FC6914">
        <w:rPr>
          <w:rFonts w:ascii="Times New Roman" w:eastAsia="方正大标宋简体" w:hAnsi="Times New Roman"/>
          <w:b/>
          <w:kern w:val="44"/>
          <w:sz w:val="30"/>
          <w:szCs w:val="30"/>
        </w:rPr>
        <w:t xml:space="preserve"> to the </w:t>
      </w:r>
      <w:r w:rsidRPr="00EA4E2C">
        <w:rPr>
          <w:rFonts w:ascii="Times New Roman" w:eastAsia="方正大标宋简体" w:hAnsi="Times New Roman"/>
          <w:b/>
          <w:i/>
          <w:iCs/>
          <w:kern w:val="44"/>
          <w:sz w:val="30"/>
          <w:szCs w:val="30"/>
        </w:rPr>
        <w:t>Copper Cathode Contract Specifications</w:t>
      </w:r>
    </w:p>
    <w:p w:rsidR="00EA4E2C" w:rsidRPr="0057621C" w:rsidRDefault="00EA4E2C" w:rsidP="00EA4E2C">
      <w:pPr>
        <w:snapToGrid w:val="0"/>
        <w:spacing w:line="276" w:lineRule="auto"/>
        <w:jc w:val="left"/>
        <w:rPr>
          <w:rFonts w:ascii="Times New Roman" w:eastAsia="方正仿宋简体" w:hAnsi="Times New Roman"/>
          <w:sz w:val="22"/>
        </w:rPr>
      </w:pPr>
      <w:r w:rsidRPr="0057621C">
        <w:rPr>
          <w:rFonts w:ascii="Times New Roman" w:eastAsia="方正仿宋简体" w:hAnsi="Times New Roman"/>
          <w:sz w:val="22"/>
        </w:rPr>
        <w:t xml:space="preserve">Note: </w:t>
      </w:r>
      <w:r>
        <w:rPr>
          <w:rFonts w:ascii="Times New Roman" w:eastAsia="方正仿宋简体" w:hAnsi="Times New Roman"/>
          <w:sz w:val="22"/>
        </w:rPr>
        <w:t>D</w:t>
      </w:r>
      <w:r w:rsidRPr="0057621C">
        <w:rPr>
          <w:rFonts w:ascii="Times New Roman" w:eastAsia="方正仿宋简体" w:hAnsi="Times New Roman"/>
          <w:sz w:val="22"/>
        </w:rPr>
        <w:t>ouble strikethrough</w:t>
      </w:r>
      <w:r>
        <w:rPr>
          <w:rFonts w:ascii="Times New Roman" w:eastAsia="方正仿宋简体" w:hAnsi="Times New Roman"/>
          <w:sz w:val="22"/>
        </w:rPr>
        <w:t>s</w:t>
      </w:r>
      <w:r w:rsidRPr="0057621C">
        <w:rPr>
          <w:rFonts w:ascii="Times New Roman" w:eastAsia="方正仿宋简体" w:hAnsi="Times New Roman"/>
          <w:sz w:val="22"/>
        </w:rPr>
        <w:t xml:space="preserve"> </w:t>
      </w:r>
      <w:r>
        <w:rPr>
          <w:rFonts w:ascii="Times New Roman" w:eastAsia="方正仿宋简体" w:hAnsi="Times New Roman"/>
          <w:sz w:val="22"/>
        </w:rPr>
        <w:t xml:space="preserve">indicate deletion and </w:t>
      </w:r>
      <w:r w:rsidRPr="0057621C">
        <w:rPr>
          <w:rFonts w:ascii="Times New Roman" w:eastAsia="方正仿宋简体" w:hAnsi="Times New Roman"/>
          <w:sz w:val="22"/>
        </w:rPr>
        <w:t xml:space="preserve">red and bold </w:t>
      </w:r>
      <w:r>
        <w:rPr>
          <w:rFonts w:ascii="Times New Roman" w:eastAsia="方正仿宋简体" w:hAnsi="Times New Roman"/>
          <w:sz w:val="22"/>
        </w:rPr>
        <w:t>indicate new addition</w:t>
      </w:r>
    </w:p>
    <w:tbl>
      <w:tblPr>
        <w:tblpPr w:leftFromText="180" w:rightFromText="180" w:vertAnchor="text" w:tblpXSpec="center" w:tblpY="1"/>
        <w:tblOverlap w:val="never"/>
        <w:tblW w:w="8505"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243"/>
        <w:gridCol w:w="4262"/>
      </w:tblGrid>
      <w:tr w:rsidR="00EA4E2C" w:rsidRPr="00B75B7E" w:rsidTr="00B73A73">
        <w:trPr>
          <w:trHeight w:val="135"/>
        </w:trPr>
        <w:tc>
          <w:tcPr>
            <w:tcW w:w="4243" w:type="dxa"/>
            <w:shd w:val="clear" w:color="auto" w:fill="4BACC6"/>
            <w:vAlign w:val="center"/>
          </w:tcPr>
          <w:p w:rsidR="00EA4E2C" w:rsidRPr="00B75B7E" w:rsidRDefault="00EA4E2C" w:rsidP="00FB7148">
            <w:pPr>
              <w:snapToGrid w:val="0"/>
              <w:spacing w:beforeLines="50" w:before="156" w:afterLines="50" w:after="156" w:line="276" w:lineRule="auto"/>
              <w:jc w:val="center"/>
              <w:rPr>
                <w:rFonts w:ascii="Times New Roman" w:eastAsia="方正仿宋简体" w:hAnsi="Times New Roman"/>
                <w:bCs/>
                <w:sz w:val="22"/>
                <w:shd w:val="clear" w:color="auto" w:fill="FF0000"/>
              </w:rPr>
            </w:pPr>
            <w:r w:rsidRPr="00B75B7E">
              <w:rPr>
                <w:rFonts w:ascii="Times New Roman" w:hAnsi="Times New Roman"/>
                <w:b/>
                <w:bCs/>
                <w:color w:val="FFFFFF"/>
                <w:sz w:val="22"/>
              </w:rPr>
              <w:t>Revised Version</w:t>
            </w:r>
          </w:p>
        </w:tc>
        <w:tc>
          <w:tcPr>
            <w:tcW w:w="4262" w:type="dxa"/>
            <w:shd w:val="clear" w:color="auto" w:fill="4BACC6"/>
            <w:vAlign w:val="center"/>
          </w:tcPr>
          <w:p w:rsidR="00EA4E2C" w:rsidRPr="00B75B7E" w:rsidRDefault="00EA4E2C" w:rsidP="00FB7148">
            <w:pPr>
              <w:tabs>
                <w:tab w:val="left" w:pos="210"/>
                <w:tab w:val="center" w:pos="2869"/>
              </w:tabs>
              <w:snapToGrid w:val="0"/>
              <w:spacing w:beforeLines="50" w:before="156" w:afterLines="50" w:after="156" w:line="276" w:lineRule="auto"/>
              <w:jc w:val="center"/>
              <w:rPr>
                <w:rFonts w:ascii="Times New Roman" w:eastAsia="方正仿宋简体" w:hAnsi="Times New Roman"/>
                <w:b/>
                <w:bCs/>
                <w:color w:val="FFFFFF"/>
                <w:sz w:val="22"/>
              </w:rPr>
            </w:pPr>
            <w:r w:rsidRPr="00746867">
              <w:rPr>
                <w:rFonts w:ascii="Times New Roman" w:hAnsi="Times New Roman"/>
                <w:b/>
                <w:bCs/>
                <w:color w:val="FFFFFF"/>
                <w:sz w:val="22"/>
              </w:rPr>
              <w:t xml:space="preserve">Version on </w:t>
            </w:r>
            <w:r w:rsidR="00D6659E" w:rsidRPr="00D6659E">
              <w:rPr>
                <w:rFonts w:ascii="Times New Roman" w:hAnsi="Times New Roman"/>
                <w:b/>
                <w:bCs/>
                <w:color w:val="FFFFFF"/>
                <w:sz w:val="22"/>
              </w:rPr>
              <w:t>August</w:t>
            </w:r>
            <w:r w:rsidRPr="00B75B7E">
              <w:rPr>
                <w:rFonts w:ascii="Times New Roman" w:hAnsi="Times New Roman"/>
                <w:b/>
                <w:bCs/>
                <w:color w:val="FFFFFF"/>
                <w:sz w:val="22"/>
              </w:rPr>
              <w:t xml:space="preserve"> </w:t>
            </w:r>
            <w:r w:rsidR="00D6659E">
              <w:rPr>
                <w:rFonts w:ascii="Times New Roman" w:hAnsi="Times New Roman" w:hint="eastAsia"/>
                <w:b/>
                <w:bCs/>
                <w:color w:val="FFFFFF"/>
                <w:sz w:val="22"/>
              </w:rPr>
              <w:t>18</w:t>
            </w:r>
            <w:r w:rsidRPr="00B75B7E">
              <w:rPr>
                <w:rFonts w:ascii="Times New Roman" w:hAnsi="Times New Roman"/>
                <w:b/>
                <w:bCs/>
                <w:color w:val="FFFFFF"/>
                <w:sz w:val="22"/>
              </w:rPr>
              <w:t>, 202</w:t>
            </w:r>
            <w:r w:rsidR="00D6659E">
              <w:rPr>
                <w:rFonts w:ascii="Times New Roman" w:hAnsi="Times New Roman" w:hint="eastAsia"/>
                <w:b/>
                <w:bCs/>
                <w:color w:val="FFFFFF"/>
                <w:sz w:val="22"/>
              </w:rPr>
              <w:t>0</w:t>
            </w:r>
            <w:r w:rsidRPr="00B75B7E">
              <w:rPr>
                <w:rFonts w:ascii="Times New Roman" w:hAnsi="Times New Roman"/>
                <w:b/>
                <w:bCs/>
                <w:color w:val="FFFFFF"/>
                <w:sz w:val="22"/>
              </w:rPr>
              <w:t xml:space="preserve"> </w:t>
            </w:r>
          </w:p>
        </w:tc>
      </w:tr>
      <w:tr w:rsidR="00EA4E2C" w:rsidRPr="00B75B7E" w:rsidTr="00B73A73">
        <w:trPr>
          <w:trHeight w:val="3889"/>
        </w:trPr>
        <w:tc>
          <w:tcPr>
            <w:tcW w:w="4243" w:type="dxa"/>
            <w:tcBorders>
              <w:top w:val="single" w:sz="8" w:space="0" w:color="4BACC6"/>
              <w:left w:val="single" w:sz="8" w:space="0" w:color="4BACC6"/>
              <w:bottom w:val="single" w:sz="8" w:space="0" w:color="4BACC6"/>
            </w:tcBorders>
            <w:shd w:val="clear" w:color="auto" w:fill="auto"/>
          </w:tcPr>
          <w:p w:rsidR="00D6659E" w:rsidRDefault="00D6659E" w:rsidP="00D6659E">
            <w:pPr>
              <w:tabs>
                <w:tab w:val="left" w:pos="1276"/>
              </w:tabs>
              <w:snapToGrid w:val="0"/>
              <w:spacing w:afterLines="100" w:after="312" w:line="276" w:lineRule="auto"/>
              <w:jc w:val="left"/>
              <w:rPr>
                <w:rFonts w:ascii="Times New Roman" w:hAnsi="Times New Roman"/>
                <w:b/>
                <w:bCs/>
                <w:sz w:val="24"/>
                <w:szCs w:val="24"/>
              </w:rPr>
            </w:pPr>
            <w:r w:rsidRPr="00D6659E">
              <w:rPr>
                <w:rFonts w:ascii="Times New Roman" w:hAnsi="Times New Roman"/>
                <w:b/>
                <w:bCs/>
                <w:sz w:val="24"/>
                <w:szCs w:val="24"/>
              </w:rPr>
              <w:t>Grade and Quality Specifications</w:t>
            </w:r>
            <w:r>
              <w:rPr>
                <w:rFonts w:ascii="Times New Roman" w:hAnsi="Times New Roman" w:hint="eastAsia"/>
                <w:b/>
                <w:bCs/>
                <w:sz w:val="24"/>
                <w:szCs w:val="24"/>
              </w:rPr>
              <w:t>：</w:t>
            </w:r>
          </w:p>
          <w:p w:rsidR="00D6659E" w:rsidRPr="00D6659E" w:rsidRDefault="00D6659E" w:rsidP="00D6659E">
            <w:pPr>
              <w:tabs>
                <w:tab w:val="left" w:pos="1276"/>
              </w:tabs>
              <w:adjustRightInd w:val="0"/>
              <w:snapToGrid w:val="0"/>
              <w:spacing w:afterLines="100" w:after="312" w:line="276" w:lineRule="auto"/>
              <w:jc w:val="left"/>
              <w:rPr>
                <w:rFonts w:ascii="Times New Roman" w:hAnsi="Times New Roman" w:hint="eastAsia"/>
                <w:bCs/>
                <w:dstrike/>
                <w:sz w:val="24"/>
                <w:szCs w:val="24"/>
              </w:rPr>
            </w:pPr>
            <w:r w:rsidRPr="00D6659E">
              <w:rPr>
                <w:rFonts w:ascii="Times New Roman" w:hAnsi="Times New Roman"/>
                <w:bCs/>
                <w:dstrike/>
                <w:sz w:val="24"/>
                <w:szCs w:val="24"/>
              </w:rPr>
              <w:t>Standard: #1 Standard copper (Cu-CATH-2) as prescribed in the National Standard GB/T 467-2010, with total copper and silver content not less than 99.95%.</w:t>
            </w:r>
          </w:p>
          <w:p w:rsidR="00EA4E2C" w:rsidRPr="00D6659E" w:rsidRDefault="00D6659E" w:rsidP="00FB7148">
            <w:pPr>
              <w:tabs>
                <w:tab w:val="left" w:pos="1276"/>
              </w:tabs>
              <w:adjustRightInd w:val="0"/>
              <w:snapToGrid w:val="0"/>
              <w:spacing w:afterLines="100" w:after="312" w:line="276" w:lineRule="auto"/>
              <w:jc w:val="left"/>
              <w:rPr>
                <w:rFonts w:ascii="Times New Roman" w:hAnsi="Times New Roman" w:hint="eastAsia"/>
                <w:bCs/>
                <w:sz w:val="24"/>
                <w:szCs w:val="24"/>
              </w:rPr>
            </w:pPr>
            <w:r w:rsidRPr="00D6659E">
              <w:rPr>
                <w:rFonts w:ascii="Times New Roman" w:hAnsi="Times New Roman"/>
                <w:bCs/>
                <w:dstrike/>
                <w:sz w:val="24"/>
                <w:szCs w:val="24"/>
              </w:rPr>
              <w:t xml:space="preserve">Substitute: </w:t>
            </w:r>
            <w:r w:rsidRPr="00D6659E">
              <w:rPr>
                <w:rFonts w:ascii="Times New Roman" w:hAnsi="Times New Roman"/>
                <w:bCs/>
                <w:sz w:val="24"/>
                <w:szCs w:val="24"/>
              </w:rPr>
              <w:t>Grade A copper (Cu-CATH-1) as prescribed in National Standard GB/T 467-2010; or Grade A copper (Cu-CATH-1) as prescribed in BS EN 1978:1998.</w:t>
            </w:r>
          </w:p>
        </w:tc>
        <w:tc>
          <w:tcPr>
            <w:tcW w:w="4262" w:type="dxa"/>
            <w:tcBorders>
              <w:top w:val="single" w:sz="8" w:space="0" w:color="4BACC6"/>
              <w:bottom w:val="single" w:sz="8" w:space="0" w:color="4BACC6"/>
            </w:tcBorders>
            <w:shd w:val="clear" w:color="auto" w:fill="auto"/>
          </w:tcPr>
          <w:p w:rsidR="00EA4E2C" w:rsidRDefault="00D6659E" w:rsidP="00FB7148">
            <w:pPr>
              <w:tabs>
                <w:tab w:val="left" w:pos="1276"/>
              </w:tabs>
              <w:snapToGrid w:val="0"/>
              <w:spacing w:afterLines="100" w:after="312" w:line="276" w:lineRule="auto"/>
              <w:jc w:val="left"/>
              <w:rPr>
                <w:rFonts w:ascii="Times New Roman" w:hAnsi="Times New Roman"/>
                <w:b/>
                <w:bCs/>
                <w:sz w:val="24"/>
                <w:szCs w:val="24"/>
              </w:rPr>
            </w:pPr>
            <w:r w:rsidRPr="00D6659E">
              <w:rPr>
                <w:rFonts w:ascii="Times New Roman" w:hAnsi="Times New Roman"/>
                <w:b/>
                <w:bCs/>
                <w:sz w:val="24"/>
                <w:szCs w:val="24"/>
              </w:rPr>
              <w:t>Grade and Quality Specifications</w:t>
            </w:r>
            <w:r>
              <w:rPr>
                <w:rFonts w:ascii="Times New Roman" w:hAnsi="Times New Roman" w:hint="eastAsia"/>
                <w:b/>
                <w:bCs/>
                <w:sz w:val="24"/>
                <w:szCs w:val="24"/>
              </w:rPr>
              <w:t>：</w:t>
            </w:r>
          </w:p>
          <w:p w:rsidR="00D6659E" w:rsidRPr="00D6659E" w:rsidRDefault="00D6659E" w:rsidP="00D6659E">
            <w:pPr>
              <w:tabs>
                <w:tab w:val="left" w:pos="1276"/>
              </w:tabs>
              <w:adjustRightInd w:val="0"/>
              <w:snapToGrid w:val="0"/>
              <w:spacing w:afterLines="100" w:after="312" w:line="276" w:lineRule="auto"/>
              <w:jc w:val="left"/>
              <w:rPr>
                <w:rFonts w:ascii="Times New Roman" w:hAnsi="Times New Roman" w:hint="eastAsia"/>
                <w:bCs/>
                <w:sz w:val="24"/>
                <w:szCs w:val="24"/>
              </w:rPr>
            </w:pPr>
            <w:r w:rsidRPr="00D6659E">
              <w:rPr>
                <w:rFonts w:ascii="Times New Roman" w:hAnsi="Times New Roman"/>
                <w:bCs/>
                <w:sz w:val="24"/>
                <w:szCs w:val="24"/>
              </w:rPr>
              <w:t>Standard: #1 Standard copper (Cu-CATH-2) as prescribed in the National Standard GB/T 467-2010, with total copper and silve</w:t>
            </w:r>
            <w:r>
              <w:rPr>
                <w:rFonts w:ascii="Times New Roman" w:hAnsi="Times New Roman"/>
                <w:bCs/>
                <w:sz w:val="24"/>
                <w:szCs w:val="24"/>
              </w:rPr>
              <w:t>r content not less than 99.95%.</w:t>
            </w:r>
          </w:p>
          <w:p w:rsidR="00D6659E" w:rsidRPr="00B73A73" w:rsidRDefault="00D6659E" w:rsidP="00D6659E">
            <w:pPr>
              <w:tabs>
                <w:tab w:val="left" w:pos="1276"/>
              </w:tabs>
              <w:adjustRightInd w:val="0"/>
              <w:snapToGrid w:val="0"/>
              <w:spacing w:afterLines="100" w:after="312" w:line="276" w:lineRule="auto"/>
              <w:jc w:val="left"/>
              <w:rPr>
                <w:rFonts w:ascii="Times New Roman" w:hAnsi="Times New Roman" w:hint="eastAsia"/>
                <w:bCs/>
                <w:sz w:val="24"/>
                <w:szCs w:val="24"/>
              </w:rPr>
            </w:pPr>
            <w:r w:rsidRPr="00D6659E">
              <w:rPr>
                <w:rFonts w:ascii="Times New Roman" w:hAnsi="Times New Roman"/>
                <w:bCs/>
                <w:sz w:val="24"/>
                <w:szCs w:val="24"/>
              </w:rPr>
              <w:t>Substitute: Grade A copper (Cu-CATH-1) as prescribed in National Standard GB/T 467-2010; or Grade A copper (Cu-CATH-1) as prescribed in BS EN 1978:1998.</w:t>
            </w:r>
          </w:p>
        </w:tc>
      </w:tr>
      <w:tr w:rsidR="00EA4E2C" w:rsidRPr="00B75B7E" w:rsidTr="00B73A73">
        <w:trPr>
          <w:trHeight w:val="3253"/>
        </w:trPr>
        <w:tc>
          <w:tcPr>
            <w:tcW w:w="4243" w:type="dxa"/>
            <w:tcBorders>
              <w:top w:val="single" w:sz="8" w:space="0" w:color="4BACC6"/>
              <w:left w:val="single" w:sz="8" w:space="0" w:color="4BACC6"/>
              <w:bottom w:val="single" w:sz="8" w:space="0" w:color="4BACC6"/>
            </w:tcBorders>
            <w:shd w:val="clear" w:color="auto" w:fill="auto"/>
          </w:tcPr>
          <w:p w:rsidR="0056664A" w:rsidRDefault="0056664A" w:rsidP="0056664A">
            <w:pPr>
              <w:tabs>
                <w:tab w:val="left" w:pos="1276"/>
              </w:tabs>
              <w:snapToGrid w:val="0"/>
              <w:spacing w:afterLines="100" w:after="312" w:line="276" w:lineRule="auto"/>
              <w:jc w:val="left"/>
              <w:rPr>
                <w:rFonts w:ascii="Arial" w:hAnsi="Arial" w:cs="Arial"/>
                <w:b/>
                <w:bCs/>
                <w:color w:val="212121"/>
                <w:szCs w:val="21"/>
                <w:bdr w:val="none" w:sz="0" w:space="0" w:color="auto" w:frame="1"/>
                <w:shd w:val="clear" w:color="auto" w:fill="FFFFFF"/>
              </w:rPr>
            </w:pPr>
            <w:r w:rsidRPr="00D6659E">
              <w:rPr>
                <w:rFonts w:ascii="Times New Roman" w:hAnsi="Times New Roman"/>
                <w:b/>
                <w:bCs/>
                <w:sz w:val="24"/>
                <w:szCs w:val="24"/>
              </w:rPr>
              <w:t>II. Quality specifications</w:t>
            </w:r>
          </w:p>
          <w:p w:rsidR="00EA4E2C" w:rsidRPr="0056664A" w:rsidRDefault="004B4E00" w:rsidP="0056664A">
            <w:pPr>
              <w:tabs>
                <w:tab w:val="left" w:pos="315"/>
              </w:tabs>
              <w:adjustRightInd w:val="0"/>
              <w:snapToGrid w:val="0"/>
              <w:spacing w:afterLines="100" w:after="312" w:line="276" w:lineRule="auto"/>
              <w:jc w:val="left"/>
              <w:rPr>
                <w:rFonts w:ascii="Times New Roman" w:hAnsi="Times New Roman" w:hint="eastAsia"/>
                <w:sz w:val="24"/>
                <w:szCs w:val="24"/>
              </w:rPr>
            </w:pPr>
            <w:r>
              <w:rPr>
                <w:rFonts w:ascii="Times New Roman" w:hAnsi="Times New Roman"/>
                <w:bCs/>
                <w:sz w:val="24"/>
                <w:szCs w:val="24"/>
              </w:rPr>
              <w:t>(1)</w:t>
            </w:r>
            <w:r w:rsidR="0056664A" w:rsidRPr="007454A3">
              <w:rPr>
                <w:rFonts w:ascii="Times New Roman" w:hAnsi="Times New Roman"/>
                <w:bCs/>
                <w:sz w:val="24"/>
                <w:szCs w:val="24"/>
              </w:rPr>
              <w:tab/>
            </w:r>
            <w:r w:rsidR="0056664A" w:rsidRPr="0056664A">
              <w:rPr>
                <w:rFonts w:ascii="Times New Roman" w:hAnsi="Times New Roman"/>
                <w:bCs/>
                <w:dstrike/>
                <w:sz w:val="24"/>
                <w:szCs w:val="24"/>
              </w:rPr>
              <w:t>Subject to all specifications on standard copper cathode, the primary component of copper and silver shall not be less than 99.95%.</w:t>
            </w:r>
            <w:r w:rsidR="007454A3">
              <w:t xml:space="preserve"> </w:t>
            </w:r>
            <w:r w:rsidR="007454A3" w:rsidRPr="00B73A73">
              <w:rPr>
                <w:rFonts w:ascii="Times New Roman" w:hAnsi="Times New Roman"/>
                <w:bCs/>
                <w:color w:val="FF0000"/>
                <w:sz w:val="24"/>
                <w:szCs w:val="24"/>
              </w:rPr>
              <w:t>Grade A copper (Cu-CATH-1) as prescribed in National Standard GB/T 467-2010</w:t>
            </w:r>
            <w:r w:rsidR="007454A3" w:rsidRPr="00B73A73">
              <w:rPr>
                <w:rFonts w:ascii="Times New Roman" w:hAnsi="Times New Roman" w:hint="eastAsia"/>
                <w:bCs/>
                <w:color w:val="FF0000"/>
                <w:sz w:val="24"/>
                <w:szCs w:val="24"/>
              </w:rPr>
              <w:t xml:space="preserve"> </w:t>
            </w:r>
            <w:r w:rsidR="007454A3" w:rsidRPr="00B73A73">
              <w:rPr>
                <w:rFonts w:ascii="Times New Roman" w:hAnsi="Times New Roman"/>
                <w:bCs/>
                <w:color w:val="FF0000"/>
                <w:sz w:val="24"/>
                <w:szCs w:val="24"/>
              </w:rPr>
              <w:t>or Grade A copper (Cu-CATH-1) as prescribed in BS EN 1978:1998.</w:t>
            </w:r>
          </w:p>
        </w:tc>
        <w:tc>
          <w:tcPr>
            <w:tcW w:w="4262" w:type="dxa"/>
            <w:tcBorders>
              <w:top w:val="single" w:sz="8" w:space="0" w:color="4BACC6"/>
              <w:bottom w:val="single" w:sz="8" w:space="0" w:color="4BACC6"/>
            </w:tcBorders>
            <w:shd w:val="clear" w:color="auto" w:fill="auto"/>
          </w:tcPr>
          <w:p w:rsidR="00EA4E2C" w:rsidRDefault="00D6659E" w:rsidP="00FB7148">
            <w:pPr>
              <w:tabs>
                <w:tab w:val="left" w:pos="1276"/>
              </w:tabs>
              <w:snapToGrid w:val="0"/>
              <w:spacing w:afterLines="100" w:after="312" w:line="276" w:lineRule="auto"/>
              <w:jc w:val="left"/>
              <w:rPr>
                <w:rFonts w:ascii="Arial" w:hAnsi="Arial" w:cs="Arial"/>
                <w:b/>
                <w:bCs/>
                <w:color w:val="212121"/>
                <w:szCs w:val="21"/>
                <w:bdr w:val="none" w:sz="0" w:space="0" w:color="auto" w:frame="1"/>
                <w:shd w:val="clear" w:color="auto" w:fill="FFFFFF"/>
              </w:rPr>
            </w:pPr>
            <w:r w:rsidRPr="00D6659E">
              <w:rPr>
                <w:rFonts w:ascii="Times New Roman" w:hAnsi="Times New Roman"/>
                <w:b/>
                <w:bCs/>
                <w:sz w:val="24"/>
                <w:szCs w:val="24"/>
              </w:rPr>
              <w:t>II. Quality specifications</w:t>
            </w:r>
          </w:p>
          <w:p w:rsidR="00D6659E" w:rsidRPr="00503F20" w:rsidRDefault="004B4E00" w:rsidP="00D052FC">
            <w:pPr>
              <w:tabs>
                <w:tab w:val="left" w:pos="315"/>
              </w:tabs>
              <w:adjustRightInd w:val="0"/>
              <w:snapToGrid w:val="0"/>
              <w:spacing w:afterLines="100" w:after="312" w:line="276" w:lineRule="auto"/>
              <w:jc w:val="left"/>
              <w:rPr>
                <w:rFonts w:ascii="Times New Roman" w:hAnsi="Times New Roman"/>
                <w:bCs/>
                <w:sz w:val="24"/>
                <w:szCs w:val="24"/>
              </w:rPr>
            </w:pPr>
            <w:r>
              <w:rPr>
                <w:rFonts w:ascii="Times New Roman" w:hAnsi="Times New Roman"/>
                <w:bCs/>
                <w:sz w:val="24"/>
                <w:szCs w:val="24"/>
              </w:rPr>
              <w:t>(1</w:t>
            </w:r>
            <w:r w:rsidR="00503F20" w:rsidRPr="00503F20">
              <w:rPr>
                <w:rFonts w:ascii="Times New Roman" w:hAnsi="Times New Roman"/>
                <w:bCs/>
                <w:sz w:val="24"/>
                <w:szCs w:val="24"/>
              </w:rPr>
              <w:t>)</w:t>
            </w:r>
            <w:r w:rsidR="00503F20" w:rsidRPr="00503F20">
              <w:rPr>
                <w:rFonts w:ascii="Times New Roman" w:hAnsi="Times New Roman"/>
                <w:bCs/>
                <w:sz w:val="24"/>
                <w:szCs w:val="24"/>
              </w:rPr>
              <w:tab/>
            </w:r>
            <w:r w:rsidR="00D6659E" w:rsidRPr="00503F20">
              <w:rPr>
                <w:rFonts w:ascii="Times New Roman" w:hAnsi="Times New Roman"/>
                <w:bCs/>
                <w:sz w:val="24"/>
                <w:szCs w:val="24"/>
              </w:rPr>
              <w:t>Subject to all specifications on standard copper cathode, the primary component of copper and silver shall not be less than 99.95%.</w:t>
            </w:r>
          </w:p>
          <w:p w:rsidR="0056664A" w:rsidRPr="0056664A" w:rsidRDefault="0056664A" w:rsidP="0056664A">
            <w:pPr>
              <w:tabs>
                <w:tab w:val="left" w:pos="315"/>
              </w:tabs>
              <w:adjustRightInd w:val="0"/>
              <w:snapToGrid w:val="0"/>
              <w:spacing w:afterLines="100" w:after="312" w:line="276" w:lineRule="auto"/>
              <w:jc w:val="left"/>
              <w:rPr>
                <w:rFonts w:ascii="Times New Roman" w:hAnsi="Times New Roman" w:hint="eastAsia"/>
                <w:sz w:val="24"/>
                <w:szCs w:val="24"/>
              </w:rPr>
            </w:pPr>
          </w:p>
        </w:tc>
      </w:tr>
      <w:tr w:rsidR="00D6659E" w:rsidRPr="00B75B7E" w:rsidTr="008951A9">
        <w:trPr>
          <w:trHeight w:val="3303"/>
        </w:trPr>
        <w:tc>
          <w:tcPr>
            <w:tcW w:w="4243" w:type="dxa"/>
            <w:tcBorders>
              <w:top w:val="single" w:sz="8" w:space="0" w:color="4BACC6"/>
              <w:left w:val="single" w:sz="8" w:space="0" w:color="4BACC6"/>
              <w:bottom w:val="single" w:sz="8" w:space="0" w:color="4BACC6"/>
            </w:tcBorders>
            <w:shd w:val="clear" w:color="auto" w:fill="auto"/>
          </w:tcPr>
          <w:p w:rsidR="00185BA5" w:rsidRPr="00185BA5" w:rsidRDefault="00185BA5" w:rsidP="00185BA5">
            <w:pPr>
              <w:tabs>
                <w:tab w:val="left" w:pos="1276"/>
              </w:tabs>
              <w:snapToGrid w:val="0"/>
              <w:spacing w:afterLines="100" w:after="312" w:line="276" w:lineRule="auto"/>
              <w:jc w:val="left"/>
              <w:rPr>
                <w:rFonts w:ascii="Times New Roman" w:hAnsi="Times New Roman"/>
                <w:b/>
                <w:bCs/>
                <w:sz w:val="24"/>
                <w:szCs w:val="24"/>
              </w:rPr>
            </w:pPr>
            <w:r w:rsidRPr="00185BA5">
              <w:rPr>
                <w:rFonts w:ascii="Times New Roman" w:hAnsi="Times New Roman"/>
                <w:b/>
                <w:bCs/>
                <w:sz w:val="24"/>
                <w:szCs w:val="24"/>
              </w:rPr>
              <w:t>III. The Exchange approved manufacturers and registered brands</w:t>
            </w:r>
          </w:p>
          <w:p w:rsidR="00D6659E" w:rsidRPr="00185BA5" w:rsidRDefault="00185BA5" w:rsidP="00185BA5">
            <w:pPr>
              <w:tabs>
                <w:tab w:val="left" w:pos="315"/>
              </w:tabs>
              <w:adjustRightInd w:val="0"/>
              <w:snapToGrid w:val="0"/>
              <w:spacing w:afterLines="100" w:after="312" w:line="276" w:lineRule="auto"/>
              <w:jc w:val="left"/>
              <w:rPr>
                <w:rFonts w:ascii="Times New Roman" w:hAnsi="Times New Roman" w:hint="eastAsia"/>
                <w:bCs/>
                <w:sz w:val="24"/>
                <w:szCs w:val="24"/>
              </w:rPr>
            </w:pPr>
            <w:r w:rsidRPr="00185BA5">
              <w:rPr>
                <w:rFonts w:ascii="Times New Roman" w:hAnsi="Times New Roman"/>
                <w:bCs/>
                <w:sz w:val="24"/>
                <w:szCs w:val="24"/>
              </w:rPr>
              <w:t xml:space="preserve">Copper cathode used for physical delivery must be of the brand registered with the Exchange. </w:t>
            </w:r>
            <w:r w:rsidRPr="00185BA5">
              <w:rPr>
                <w:rFonts w:ascii="Times New Roman" w:hAnsi="Times New Roman"/>
                <w:bCs/>
                <w:dstrike/>
                <w:sz w:val="24"/>
                <w:szCs w:val="24"/>
              </w:rPr>
              <w:t xml:space="preserve">Delivery of high purity copper cathode is replaceable. </w:t>
            </w:r>
            <w:r w:rsidRPr="00185BA5">
              <w:rPr>
                <w:rFonts w:ascii="Times New Roman" w:hAnsi="Times New Roman"/>
                <w:bCs/>
                <w:sz w:val="24"/>
                <w:szCs w:val="24"/>
              </w:rPr>
              <w:t>The specific registered brand as well as the premium and discount standard will be provided and announced by the Exchange.</w:t>
            </w:r>
          </w:p>
        </w:tc>
        <w:tc>
          <w:tcPr>
            <w:tcW w:w="4262" w:type="dxa"/>
            <w:tcBorders>
              <w:top w:val="single" w:sz="8" w:space="0" w:color="4BACC6"/>
              <w:bottom w:val="single" w:sz="8" w:space="0" w:color="4BACC6"/>
            </w:tcBorders>
            <w:shd w:val="clear" w:color="auto" w:fill="auto"/>
          </w:tcPr>
          <w:p w:rsidR="00185BA5" w:rsidRPr="00185BA5" w:rsidRDefault="00185BA5" w:rsidP="00185BA5">
            <w:pPr>
              <w:tabs>
                <w:tab w:val="left" w:pos="1276"/>
              </w:tabs>
              <w:snapToGrid w:val="0"/>
              <w:spacing w:afterLines="100" w:after="312" w:line="276" w:lineRule="auto"/>
              <w:jc w:val="left"/>
              <w:rPr>
                <w:rFonts w:ascii="Times New Roman" w:hAnsi="Times New Roman"/>
                <w:b/>
                <w:bCs/>
                <w:sz w:val="24"/>
                <w:szCs w:val="24"/>
              </w:rPr>
            </w:pPr>
            <w:r w:rsidRPr="00185BA5">
              <w:rPr>
                <w:rFonts w:ascii="Times New Roman" w:hAnsi="Times New Roman"/>
                <w:b/>
                <w:bCs/>
                <w:sz w:val="24"/>
                <w:szCs w:val="24"/>
              </w:rPr>
              <w:t>III. The Exchange approved manufacturers and registered brands</w:t>
            </w:r>
          </w:p>
          <w:p w:rsidR="00D6659E" w:rsidRPr="00B73A73" w:rsidRDefault="00185BA5" w:rsidP="00B73A73">
            <w:pPr>
              <w:tabs>
                <w:tab w:val="left" w:pos="315"/>
              </w:tabs>
              <w:adjustRightInd w:val="0"/>
              <w:snapToGrid w:val="0"/>
              <w:spacing w:afterLines="100" w:after="312" w:line="276" w:lineRule="auto"/>
              <w:jc w:val="left"/>
              <w:rPr>
                <w:rFonts w:ascii="Times New Roman" w:hAnsi="Times New Roman" w:hint="eastAsia"/>
                <w:bCs/>
                <w:sz w:val="24"/>
                <w:szCs w:val="24"/>
              </w:rPr>
            </w:pPr>
            <w:r w:rsidRPr="00185BA5">
              <w:rPr>
                <w:rFonts w:ascii="Times New Roman" w:hAnsi="Times New Roman"/>
                <w:bCs/>
                <w:sz w:val="24"/>
                <w:szCs w:val="24"/>
              </w:rPr>
              <w:t>Copper cathode used for physical delivery must be of the brand registered with the Exchange. Delivery of high purity copper cathode is replaceable. The specific registered brand as well as the premium and discount standard will be provided and announced by the Exchange.</w:t>
            </w:r>
          </w:p>
        </w:tc>
      </w:tr>
    </w:tbl>
    <w:p w:rsidR="003A1C43" w:rsidRPr="00B73A73" w:rsidRDefault="00AE556D">
      <w:pPr>
        <w:rPr>
          <w:rFonts w:hint="eastAsia"/>
        </w:rPr>
      </w:pPr>
      <w:bookmarkStart w:id="0" w:name="_GoBack"/>
      <w:bookmarkEnd w:id="0"/>
    </w:p>
    <w:sectPr w:rsidR="003A1C43" w:rsidRPr="00B73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6D" w:rsidRDefault="00AE556D" w:rsidP="00EA4E2C">
      <w:r>
        <w:separator/>
      </w:r>
    </w:p>
  </w:endnote>
  <w:endnote w:type="continuationSeparator" w:id="0">
    <w:p w:rsidR="00AE556D" w:rsidRDefault="00AE556D" w:rsidP="00EA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6D" w:rsidRDefault="00AE556D" w:rsidP="00EA4E2C">
      <w:r>
        <w:separator/>
      </w:r>
    </w:p>
  </w:footnote>
  <w:footnote w:type="continuationSeparator" w:id="0">
    <w:p w:rsidR="00AE556D" w:rsidRDefault="00AE556D" w:rsidP="00EA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C5C4C"/>
    <w:multiLevelType w:val="hybridMultilevel"/>
    <w:tmpl w:val="DFA0A126"/>
    <w:lvl w:ilvl="0" w:tplc="9E465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66"/>
    <w:rsid w:val="000462FF"/>
    <w:rsid w:val="00185BA5"/>
    <w:rsid w:val="004B4E00"/>
    <w:rsid w:val="00503F20"/>
    <w:rsid w:val="0056664A"/>
    <w:rsid w:val="007454A3"/>
    <w:rsid w:val="008951A9"/>
    <w:rsid w:val="00AC29E2"/>
    <w:rsid w:val="00AE556D"/>
    <w:rsid w:val="00B73A73"/>
    <w:rsid w:val="00D052FC"/>
    <w:rsid w:val="00D6659E"/>
    <w:rsid w:val="00E75466"/>
    <w:rsid w:val="00EA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1A9C4F-14E2-42BC-B116-26CE469F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E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E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E2C"/>
    <w:rPr>
      <w:sz w:val="18"/>
      <w:szCs w:val="18"/>
    </w:rPr>
  </w:style>
  <w:style w:type="paragraph" w:styleId="a4">
    <w:name w:val="footer"/>
    <w:basedOn w:val="a"/>
    <w:link w:val="Char0"/>
    <w:uiPriority w:val="99"/>
    <w:unhideWhenUsed/>
    <w:rsid w:val="00EA4E2C"/>
    <w:pPr>
      <w:tabs>
        <w:tab w:val="center" w:pos="4153"/>
        <w:tab w:val="right" w:pos="8306"/>
      </w:tabs>
      <w:snapToGrid w:val="0"/>
      <w:jc w:val="left"/>
    </w:pPr>
    <w:rPr>
      <w:sz w:val="18"/>
      <w:szCs w:val="18"/>
    </w:rPr>
  </w:style>
  <w:style w:type="character" w:customStyle="1" w:styleId="Char0">
    <w:name w:val="页脚 Char"/>
    <w:basedOn w:val="a0"/>
    <w:link w:val="a4"/>
    <w:uiPriority w:val="99"/>
    <w:rsid w:val="00EA4E2C"/>
    <w:rPr>
      <w:sz w:val="18"/>
      <w:szCs w:val="18"/>
    </w:rPr>
  </w:style>
  <w:style w:type="paragraph" w:styleId="a5">
    <w:name w:val="List Paragraph"/>
    <w:basedOn w:val="a"/>
    <w:uiPriority w:val="34"/>
    <w:qFormat/>
    <w:rsid w:val="0056664A"/>
    <w:pPr>
      <w:ind w:firstLineChars="200" w:firstLine="420"/>
    </w:pPr>
  </w:style>
  <w:style w:type="paragraph" w:styleId="a6">
    <w:name w:val="Normal (Web)"/>
    <w:basedOn w:val="a"/>
    <w:uiPriority w:val="99"/>
    <w:semiHidden/>
    <w:unhideWhenUsed/>
    <w:rsid w:val="00185BA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301</Words>
  <Characters>1718</Characters>
  <Application>Microsoft Office Word</Application>
  <DocSecurity>0</DocSecurity>
  <Lines>14</Lines>
  <Paragraphs>4</Paragraphs>
  <ScaleCrop>false</ScaleCrop>
  <Company>SHFE</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10</cp:revision>
  <dcterms:created xsi:type="dcterms:W3CDTF">2022-03-07T02:07:00Z</dcterms:created>
  <dcterms:modified xsi:type="dcterms:W3CDTF">2022-03-07T02:36:00Z</dcterms:modified>
</cp:coreProperties>
</file>