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line="276" w:lineRule="auto"/>
        <w:jc w:val="left"/>
        <w:rPr>
          <w:rFonts w:hint="eastAsia" w:ascii="Times New Roman" w:hAnsi="Times New Roman" w:eastAsia="等线" w:cs="Times New Roman"/>
          <w:b/>
          <w:bCs/>
          <w:sz w:val="24"/>
          <w:szCs w:val="24"/>
          <w:lang w:val="en-US" w:eastAsia="zh-CN"/>
        </w:rPr>
      </w:pPr>
      <w:r>
        <w:rPr>
          <w:rFonts w:ascii="Times New Roman" w:hAnsi="Times New Roman" w:eastAsia="等线" w:cs="Times New Roman"/>
          <w:b/>
          <w:bCs/>
          <w:sz w:val="24"/>
          <w:szCs w:val="24"/>
        </w:rPr>
        <w:t xml:space="preserve">Appendix </w:t>
      </w:r>
      <w:r>
        <w:rPr>
          <w:rFonts w:hint="eastAsia" w:ascii="Times New Roman" w:hAnsi="Times New Roman" w:eastAsia="等线" w:cs="Times New Roman"/>
          <w:b/>
          <w:bCs/>
          <w:sz w:val="24"/>
          <w:szCs w:val="24"/>
          <w:lang w:val="en-US" w:eastAsia="zh-CN"/>
        </w:rPr>
        <w:t>3</w:t>
      </w:r>
      <w:bookmarkStart w:id="0" w:name="_GoBack"/>
      <w:bookmarkEnd w:id="0"/>
    </w:p>
    <w:tbl>
      <w:tblPr>
        <w:tblStyle w:val="4"/>
        <w:tblpPr w:leftFromText="180" w:rightFromText="180" w:vertAnchor="page" w:horzAnchor="margin" w:tblpY="2956"/>
        <w:tblW w:w="8354" w:type="dxa"/>
        <w:tblInd w:w="0" w:type="dxa"/>
        <w:shd w:val="clear" w:color="auto" w:fill="FFFFFF"/>
        <w:tblLayout w:type="autofit"/>
        <w:tblCellMar>
          <w:top w:w="0" w:type="dxa"/>
          <w:left w:w="0" w:type="dxa"/>
          <w:bottom w:w="0" w:type="dxa"/>
          <w:right w:w="0" w:type="dxa"/>
        </w:tblCellMar>
      </w:tblPr>
      <w:tblGrid>
        <w:gridCol w:w="3224"/>
        <w:gridCol w:w="5130"/>
      </w:tblGrid>
      <w:tr>
        <w:tblPrEx>
          <w:shd w:val="clear" w:color="auto" w:fill="FFFFFF"/>
          <w:tblCellMar>
            <w:top w:w="0" w:type="dxa"/>
            <w:left w:w="0" w:type="dxa"/>
            <w:bottom w:w="0" w:type="dxa"/>
            <w:right w:w="0" w:type="dxa"/>
          </w:tblCellMar>
        </w:tblPrEx>
        <w:trPr>
          <w:trHeight w:val="444" w:hRule="atLeast"/>
        </w:trPr>
        <w:tc>
          <w:tcPr>
            <w:tcW w:w="32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Product</w:t>
            </w:r>
          </w:p>
        </w:tc>
        <w:tc>
          <w:tcPr>
            <w:tcW w:w="51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Copper Cathode</w:t>
            </w:r>
          </w:p>
        </w:tc>
      </w:tr>
      <w:tr>
        <w:tblPrEx>
          <w:shd w:val="clear" w:color="auto" w:fill="FFFFFF"/>
          <w:tblCellMar>
            <w:top w:w="0" w:type="dxa"/>
            <w:left w:w="0" w:type="dxa"/>
            <w:bottom w:w="0" w:type="dxa"/>
            <w:right w:w="0" w:type="dxa"/>
          </w:tblCellMar>
        </w:tblPrEx>
        <w:trPr>
          <w:trHeight w:val="421"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Contract Size</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5 metric tons/lot</w:t>
            </w:r>
          </w:p>
        </w:tc>
      </w:tr>
      <w:tr>
        <w:tblPrEx>
          <w:shd w:val="clear" w:color="auto" w:fill="FFFFFF"/>
          <w:tblCellMar>
            <w:top w:w="0" w:type="dxa"/>
            <w:left w:w="0" w:type="dxa"/>
            <w:bottom w:w="0" w:type="dxa"/>
            <w:right w:w="0" w:type="dxa"/>
          </w:tblCellMar>
        </w:tblPrEx>
        <w:trPr>
          <w:trHeight w:val="420"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Price Quotation</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Yuan (RMB)/metric ton</w:t>
            </w:r>
          </w:p>
        </w:tc>
      </w:tr>
      <w:tr>
        <w:tblPrEx>
          <w:shd w:val="clear" w:color="auto" w:fill="FFFFFF"/>
          <w:tblCellMar>
            <w:top w:w="0" w:type="dxa"/>
            <w:left w:w="0" w:type="dxa"/>
            <w:bottom w:w="0" w:type="dxa"/>
            <w:right w:w="0" w:type="dxa"/>
          </w:tblCellMar>
        </w:tblPrEx>
        <w:trPr>
          <w:trHeight w:val="636"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Minimum Price Fluctuation</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10 Yuan/metric ton</w:t>
            </w:r>
          </w:p>
        </w:tc>
      </w:tr>
      <w:tr>
        <w:tblPrEx>
          <w:shd w:val="clear" w:color="auto" w:fill="FFFFFF"/>
          <w:tblCellMar>
            <w:top w:w="0" w:type="dxa"/>
            <w:left w:w="0" w:type="dxa"/>
            <w:bottom w:w="0" w:type="dxa"/>
            <w:right w:w="0" w:type="dxa"/>
          </w:tblCellMar>
        </w:tblPrEx>
        <w:trPr>
          <w:trHeight w:val="636"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Range of Price Limit</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Within 3% of the settlement price of the preceding trading day</w:t>
            </w:r>
          </w:p>
        </w:tc>
      </w:tr>
      <w:tr>
        <w:tblPrEx>
          <w:shd w:val="clear" w:color="auto" w:fill="FFFFFF"/>
          <w:tblCellMar>
            <w:top w:w="0" w:type="dxa"/>
            <w:left w:w="0" w:type="dxa"/>
            <w:bottom w:w="0" w:type="dxa"/>
            <w:right w:w="0" w:type="dxa"/>
          </w:tblCellMar>
        </w:tblPrEx>
        <w:trPr>
          <w:trHeight w:val="578"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Listed Contracts</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Monthly contract for the most recent 12 months</w:t>
            </w:r>
          </w:p>
        </w:tc>
      </w:tr>
      <w:tr>
        <w:tblPrEx>
          <w:shd w:val="clear" w:color="auto" w:fill="FFFFFF"/>
          <w:tblCellMar>
            <w:top w:w="0" w:type="dxa"/>
            <w:left w:w="0" w:type="dxa"/>
            <w:bottom w:w="0" w:type="dxa"/>
            <w:right w:w="0" w:type="dxa"/>
          </w:tblCellMar>
        </w:tblPrEx>
        <w:trPr>
          <w:trHeight w:val="636"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Trading Hours</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9:00 a.m. to 11:30 a.m., 1:30 p.m. to 3:00 p.m., and other hours specified by the Exchange (Beijing Time)</w:t>
            </w:r>
          </w:p>
        </w:tc>
      </w:tr>
      <w:tr>
        <w:tblPrEx>
          <w:shd w:val="clear" w:color="auto" w:fill="FFFFFF"/>
          <w:tblCellMar>
            <w:top w:w="0" w:type="dxa"/>
            <w:left w:w="0" w:type="dxa"/>
            <w:bottom w:w="0" w:type="dxa"/>
            <w:right w:w="0" w:type="dxa"/>
          </w:tblCellMar>
        </w:tblPrEx>
        <w:trPr>
          <w:trHeight w:val="636"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Last Trading Day</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15th day of the contract month (postponed accordingly if it is a legal holiday in China and subject to separate adjustment and announcement by the Exchange if it falls in the Spring Festival month or another month specially designated by the Exchange.)</w:t>
            </w:r>
          </w:p>
        </w:tc>
      </w:tr>
      <w:tr>
        <w:tblPrEx>
          <w:shd w:val="clear" w:color="auto" w:fill="FFFFFF"/>
          <w:tblCellMar>
            <w:top w:w="0" w:type="dxa"/>
            <w:left w:w="0" w:type="dxa"/>
            <w:bottom w:w="0" w:type="dxa"/>
            <w:right w:w="0" w:type="dxa"/>
          </w:tblCellMar>
        </w:tblPrEx>
        <w:trPr>
          <w:trHeight w:val="471"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Delivery Period</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Three consecutive business days after the last trading day</w:t>
            </w:r>
          </w:p>
        </w:tc>
      </w:tr>
      <w:tr>
        <w:tblPrEx>
          <w:shd w:val="clear" w:color="auto" w:fill="FFFFFF"/>
          <w:tblCellMar>
            <w:top w:w="0" w:type="dxa"/>
            <w:left w:w="0" w:type="dxa"/>
            <w:bottom w:w="0" w:type="dxa"/>
            <w:right w:w="0" w:type="dxa"/>
          </w:tblCellMar>
        </w:tblPrEx>
        <w:trPr>
          <w:trHeight w:val="636" w:hRule="atLeast"/>
        </w:trPr>
        <w:tc>
          <w:tcPr>
            <w:tcW w:w="0" w:type="auto"/>
            <w:tcBorders>
              <w:top w:val="nil"/>
              <w:left w:val="single" w:color="auto" w:sz="8" w:space="0"/>
              <w:bottom w:val="single" w:color="auto" w:sz="8" w:space="0"/>
              <w:right w:val="single" w:color="auto" w:sz="8" w:space="0"/>
            </w:tcBorders>
            <w:shd w:val="clear" w:color="auto" w:fill="FFFFFF"/>
            <w:vAlign w:val="center"/>
          </w:tcPr>
          <w:p>
            <w:r>
              <w:rPr>
                <w:rFonts w:ascii="Arial" w:hAnsi="Arial" w:eastAsia="宋体" w:cs="Arial"/>
                <w:color w:val="212121"/>
                <w:kern w:val="0"/>
                <w:sz w:val="22"/>
              </w:rPr>
              <w:t>Grade and Quality Specifications</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pPr>
            <w:r>
              <w:rPr>
                <w:rFonts w:ascii="Arial" w:hAnsi="Arial" w:eastAsia="宋体" w:cs="Arial"/>
                <w:color w:val="212121"/>
                <w:kern w:val="0"/>
                <w:sz w:val="22"/>
              </w:rPr>
              <w:t>Grade A copper (Cu-CATH-1) as prescribed in National Standard GB/T 467-2010; or Grade A copper (Cu-CATH-1) as prescribed in BS EN 1978:1998.</w:t>
            </w:r>
          </w:p>
        </w:tc>
      </w:tr>
      <w:tr>
        <w:tblPrEx>
          <w:shd w:val="clear" w:color="auto" w:fill="FFFFFF"/>
          <w:tblCellMar>
            <w:top w:w="0" w:type="dxa"/>
            <w:left w:w="0" w:type="dxa"/>
            <w:bottom w:w="0" w:type="dxa"/>
            <w:right w:w="0" w:type="dxa"/>
          </w:tblCellMar>
        </w:tblPrEx>
        <w:trPr>
          <w:trHeight w:val="539"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Delivery Venue</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SHFE-designated delivery storage facilities</w:t>
            </w:r>
          </w:p>
        </w:tc>
      </w:tr>
      <w:tr>
        <w:tblPrEx>
          <w:shd w:val="clear" w:color="auto" w:fill="FFFFFF"/>
          <w:tblCellMar>
            <w:top w:w="0" w:type="dxa"/>
            <w:left w:w="0" w:type="dxa"/>
            <w:bottom w:w="0" w:type="dxa"/>
            <w:right w:w="0" w:type="dxa"/>
          </w:tblCellMar>
        </w:tblPrEx>
        <w:trPr>
          <w:trHeight w:val="547"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Minimum Trade Margin</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5% of contract value</w:t>
            </w:r>
          </w:p>
        </w:tc>
      </w:tr>
      <w:tr>
        <w:tblPrEx>
          <w:shd w:val="clear" w:color="auto" w:fill="FFFFFF"/>
          <w:tblCellMar>
            <w:top w:w="0" w:type="dxa"/>
            <w:left w:w="0" w:type="dxa"/>
            <w:bottom w:w="0" w:type="dxa"/>
            <w:right w:w="0" w:type="dxa"/>
          </w:tblCellMar>
        </w:tblPrEx>
        <w:trPr>
          <w:trHeight w:val="413"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Settlement Type</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Physical delivery</w:t>
            </w:r>
          </w:p>
        </w:tc>
      </w:tr>
      <w:tr>
        <w:tblPrEx>
          <w:shd w:val="clear" w:color="auto" w:fill="FFFFFF"/>
          <w:tblCellMar>
            <w:top w:w="0" w:type="dxa"/>
            <w:left w:w="0" w:type="dxa"/>
            <w:bottom w:w="0" w:type="dxa"/>
            <w:right w:w="0" w:type="dxa"/>
          </w:tblCellMar>
        </w:tblPrEx>
        <w:trPr>
          <w:trHeight w:val="563"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Delivery Unit</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25 metric tons</w:t>
            </w:r>
          </w:p>
        </w:tc>
      </w:tr>
      <w:tr>
        <w:tblPrEx>
          <w:shd w:val="clear" w:color="auto" w:fill="FFFFFF"/>
          <w:tblCellMar>
            <w:top w:w="0" w:type="dxa"/>
            <w:left w:w="0" w:type="dxa"/>
            <w:bottom w:w="0" w:type="dxa"/>
            <w:right w:w="0" w:type="dxa"/>
          </w:tblCellMar>
        </w:tblPrEx>
        <w:trPr>
          <w:trHeight w:val="543"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Contract Symbol</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CU</w:t>
            </w:r>
          </w:p>
        </w:tc>
      </w:tr>
      <w:tr>
        <w:tblPrEx>
          <w:shd w:val="clear" w:color="auto" w:fill="FFFFFF"/>
          <w:tblCellMar>
            <w:top w:w="0" w:type="dxa"/>
            <w:left w:w="0" w:type="dxa"/>
            <w:bottom w:w="0" w:type="dxa"/>
            <w:right w:w="0" w:type="dxa"/>
          </w:tblCellMar>
        </w:tblPrEx>
        <w:trPr>
          <w:trHeight w:val="70" w:hRule="atLeast"/>
        </w:trPr>
        <w:tc>
          <w:tcPr>
            <w:tcW w:w="32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Listing Exchange</w:t>
            </w:r>
          </w:p>
        </w:tc>
        <w:tc>
          <w:tcPr>
            <w:tcW w:w="5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2" w:lineRule="atLeast"/>
              <w:jc w:val="left"/>
              <w:rPr>
                <w:rFonts w:ascii="Arial" w:hAnsi="Arial" w:eastAsia="宋体" w:cs="Arial"/>
                <w:color w:val="212121"/>
                <w:kern w:val="0"/>
                <w:szCs w:val="21"/>
              </w:rPr>
            </w:pPr>
            <w:r>
              <w:rPr>
                <w:rFonts w:ascii="Arial" w:hAnsi="Arial" w:eastAsia="宋体" w:cs="Arial"/>
                <w:color w:val="212121"/>
                <w:kern w:val="0"/>
                <w:sz w:val="22"/>
              </w:rPr>
              <w:t>Shanghai Futures Exchange</w:t>
            </w:r>
          </w:p>
        </w:tc>
      </w:tr>
    </w:tbl>
    <w:p>
      <w:pPr>
        <w:keepNext/>
        <w:keepLines/>
        <w:snapToGrid w:val="0"/>
        <w:spacing w:after="312" w:afterLines="100" w:line="276" w:lineRule="auto"/>
        <w:jc w:val="center"/>
        <w:rPr>
          <w:rFonts w:ascii="Times New Roman" w:hAnsi="Times New Roman" w:eastAsia="方正大标宋简体" w:cs="Times New Roman"/>
          <w:b/>
          <w:i/>
          <w:iCs/>
          <w:kern w:val="44"/>
          <w:sz w:val="30"/>
          <w:szCs w:val="30"/>
        </w:rPr>
      </w:pPr>
      <w:r>
        <w:rPr>
          <w:rFonts w:ascii="Times New Roman" w:hAnsi="Times New Roman" w:eastAsia="方正大标宋简体" w:cs="Times New Roman"/>
          <w:b/>
          <w:i/>
          <w:iCs/>
          <w:kern w:val="44"/>
          <w:sz w:val="30"/>
          <w:szCs w:val="30"/>
        </w:rPr>
        <w:t>Copper Cathode Contract Specifications (Revised)</w:t>
      </w:r>
      <w:r>
        <w:rPr>
          <w:b/>
        </w:rPr>
        <w:br w:type="page"/>
      </w:r>
    </w:p>
    <w:p>
      <w:pPr>
        <w:keepNext/>
        <w:keepLines/>
        <w:snapToGrid w:val="0"/>
        <w:spacing w:after="312" w:afterLines="100" w:line="276" w:lineRule="auto"/>
        <w:jc w:val="center"/>
        <w:rPr>
          <w:rFonts w:ascii="Times New Roman" w:hAnsi="Times New Roman" w:eastAsia="方正大标宋简体" w:cs="Times New Roman"/>
          <w:b/>
          <w:i/>
          <w:iCs/>
          <w:kern w:val="44"/>
          <w:sz w:val="30"/>
          <w:szCs w:val="30"/>
        </w:rPr>
      </w:pPr>
    </w:p>
    <w:p>
      <w:pPr>
        <w:keepNext/>
        <w:keepLines/>
        <w:snapToGrid w:val="0"/>
        <w:spacing w:after="312" w:afterLines="100" w:line="276" w:lineRule="auto"/>
        <w:jc w:val="center"/>
        <w:rPr>
          <w:rFonts w:ascii="Times New Roman" w:hAnsi="Times New Roman" w:eastAsia="方正大标宋简体" w:cs="Times New Roman"/>
          <w:b/>
          <w:i/>
          <w:iCs/>
          <w:kern w:val="44"/>
          <w:sz w:val="30"/>
          <w:szCs w:val="30"/>
        </w:rPr>
      </w:pPr>
      <w:r>
        <w:rPr>
          <w:rFonts w:ascii="Times New Roman" w:hAnsi="Times New Roman" w:eastAsia="方正大标宋简体" w:cs="Times New Roman"/>
          <w:b/>
          <w:i/>
          <w:iCs/>
          <w:kern w:val="44"/>
          <w:sz w:val="30"/>
          <w:szCs w:val="30"/>
        </w:rPr>
        <w:t>Appendix to Standard Copper Cathode Futures Contract of Shanghai Futures Exchange (Revised)</w:t>
      </w:r>
    </w:p>
    <w:p>
      <w:pPr>
        <w:widowControl/>
        <w:jc w:val="left"/>
        <w:rPr>
          <w:rFonts w:ascii="宋体" w:hAnsi="宋体" w:eastAsia="宋体" w:cs="宋体"/>
          <w:kern w:val="0"/>
          <w:sz w:val="24"/>
          <w:szCs w:val="24"/>
        </w:rPr>
      </w:pPr>
      <w:r>
        <w:rPr>
          <w:rFonts w:ascii="Arial" w:hAnsi="Arial" w:eastAsia="宋体" w:cs="Arial"/>
          <w:b/>
          <w:bCs/>
          <w:color w:val="212121"/>
          <w:kern w:val="0"/>
          <w:szCs w:val="21"/>
          <w:shd w:val="clear" w:color="auto" w:fill="FFFFFF"/>
        </w:rPr>
        <w:t>I. Delivery unit</w:t>
      </w:r>
    </w:p>
    <w:p>
      <w:pPr>
        <w:widowControl/>
        <w:shd w:val="clear" w:color="auto" w:fill="FFFFFF"/>
        <w:spacing w:after="240"/>
        <w:jc w:val="left"/>
        <w:rPr>
          <w:rFonts w:ascii="Arial" w:hAnsi="Arial" w:eastAsia="宋体" w:cs="Arial"/>
          <w:color w:val="212121"/>
          <w:kern w:val="0"/>
          <w:szCs w:val="21"/>
        </w:rPr>
      </w:pPr>
      <w:r>
        <w:rPr>
          <w:rFonts w:ascii="Arial" w:hAnsi="Arial" w:eastAsia="宋体" w:cs="Arial"/>
          <w:color w:val="212121"/>
          <w:kern w:val="0"/>
          <w:szCs w:val="21"/>
        </w:rPr>
        <w:t>Trading unit of standard copper cathode contract is 5 tons per lot and the delivery unit is 25 tons per warrant. Each delivery shall be carried out based on the integral multiple(s) of each warrant.</w:t>
      </w:r>
    </w:p>
    <w:p>
      <w:pPr>
        <w:widowControl/>
        <w:shd w:val="clear" w:color="auto" w:fill="FFFFFF"/>
        <w:jc w:val="left"/>
        <w:rPr>
          <w:rFonts w:ascii="Arial" w:hAnsi="Arial" w:eastAsia="宋体" w:cs="Arial"/>
          <w:color w:val="212121"/>
          <w:kern w:val="0"/>
          <w:szCs w:val="21"/>
        </w:rPr>
      </w:pPr>
      <w:r>
        <w:rPr>
          <w:rFonts w:ascii="Arial" w:hAnsi="Arial" w:eastAsia="宋体" w:cs="Arial"/>
          <w:b/>
          <w:bCs/>
          <w:color w:val="212121"/>
          <w:kern w:val="0"/>
          <w:szCs w:val="21"/>
        </w:rPr>
        <w:t>II. Quality specifications</w:t>
      </w:r>
    </w:p>
    <w:p>
      <w:pPr>
        <w:widowControl/>
        <w:shd w:val="clear" w:color="auto" w:fill="FFFFFF"/>
        <w:spacing w:after="240"/>
        <w:jc w:val="left"/>
        <w:rPr>
          <w:rFonts w:ascii="Arial" w:hAnsi="Arial" w:eastAsia="宋体" w:cs="Arial"/>
          <w:color w:val="212121"/>
          <w:kern w:val="0"/>
          <w:szCs w:val="21"/>
        </w:rPr>
      </w:pPr>
      <w:r>
        <w:rPr>
          <w:rFonts w:ascii="Arial" w:hAnsi="Arial" w:eastAsia="宋体" w:cs="Arial"/>
          <w:color w:val="212121"/>
          <w:kern w:val="0"/>
          <w:szCs w:val="21"/>
        </w:rPr>
        <w:t>(1) Grade A copper (Cu-CATH-1) as prescribed in National Standard GB/T 467-2010 or Grade A copper (Cu-CATH-1) as prescribed in BS EN 1978:1998.</w:t>
      </w:r>
    </w:p>
    <w:p>
      <w:pPr>
        <w:widowControl/>
        <w:shd w:val="clear" w:color="auto" w:fill="FFFFFF"/>
        <w:spacing w:after="240"/>
        <w:jc w:val="left"/>
        <w:rPr>
          <w:rFonts w:ascii="Arial" w:hAnsi="Arial" w:eastAsia="宋体" w:cs="Arial"/>
          <w:color w:val="212121"/>
          <w:kern w:val="0"/>
          <w:szCs w:val="21"/>
        </w:rPr>
      </w:pPr>
      <w:r>
        <w:rPr>
          <w:rFonts w:ascii="Arial" w:hAnsi="Arial" w:eastAsia="宋体" w:cs="Arial"/>
          <w:color w:val="212121"/>
          <w:kern w:val="0"/>
          <w:szCs w:val="21"/>
        </w:rPr>
        <w:t>(2) Appearance and weight per piece: Copper cathode is delivered in the form of ingot. The weight of copper cathode per piece shall not be less than 15 kg and its central thickness shall not be less than 5mm.</w:t>
      </w:r>
    </w:p>
    <w:p>
      <w:pPr>
        <w:widowControl/>
        <w:shd w:val="clear" w:color="auto" w:fill="FFFFFF"/>
        <w:spacing w:after="240"/>
        <w:jc w:val="left"/>
        <w:rPr>
          <w:rFonts w:ascii="Arial" w:hAnsi="Arial" w:eastAsia="宋体" w:cs="Arial"/>
          <w:color w:val="212121"/>
          <w:kern w:val="0"/>
          <w:szCs w:val="21"/>
        </w:rPr>
      </w:pPr>
      <w:r>
        <w:rPr>
          <w:rFonts w:ascii="Arial" w:hAnsi="Arial" w:eastAsia="宋体" w:cs="Arial"/>
          <w:color w:val="212121"/>
          <w:kern w:val="0"/>
          <w:szCs w:val="21"/>
        </w:rPr>
        <w:t>(3) Each overlanded and shortlanded warrant shall not exceed ±2% and pound weight difference shall not exceed ±0.2%.</w:t>
      </w:r>
    </w:p>
    <w:p>
      <w:pPr>
        <w:widowControl/>
        <w:shd w:val="clear" w:color="auto" w:fill="FFFFFF"/>
        <w:spacing w:after="240"/>
        <w:jc w:val="left"/>
        <w:rPr>
          <w:rFonts w:ascii="Arial" w:hAnsi="Arial" w:eastAsia="宋体" w:cs="Arial"/>
          <w:color w:val="212121"/>
          <w:kern w:val="0"/>
          <w:szCs w:val="21"/>
        </w:rPr>
      </w:pPr>
      <w:r>
        <w:rPr>
          <w:rFonts w:ascii="Arial" w:hAnsi="Arial" w:eastAsia="宋体" w:cs="Arial"/>
          <w:color w:val="212121"/>
          <w:kern w:val="0"/>
          <w:szCs w:val="21"/>
        </w:rPr>
        <w:t>(4) Each warrant of copper cathode must consist of commodity of the same manufacturer, nameplate, registered trademark, quality grade, shape and approximate weight per piece.</w:t>
      </w:r>
    </w:p>
    <w:p>
      <w:pPr>
        <w:widowControl/>
        <w:shd w:val="clear" w:color="auto" w:fill="FFFFFF"/>
        <w:spacing w:after="240"/>
        <w:jc w:val="left"/>
        <w:rPr>
          <w:rFonts w:ascii="Arial" w:hAnsi="Arial" w:eastAsia="宋体" w:cs="Arial"/>
          <w:color w:val="212121"/>
          <w:kern w:val="0"/>
          <w:szCs w:val="21"/>
        </w:rPr>
      </w:pPr>
      <w:r>
        <w:rPr>
          <w:rFonts w:ascii="Arial" w:hAnsi="Arial" w:eastAsia="宋体" w:cs="Arial"/>
          <w:color w:val="212121"/>
          <w:kern w:val="0"/>
          <w:szCs w:val="21"/>
        </w:rPr>
        <w:t>(5) Each warrant of copper cathode must be the registered brand approved by the Exchange and attached with quality certificate.</w:t>
      </w:r>
    </w:p>
    <w:p>
      <w:pPr>
        <w:widowControl/>
        <w:shd w:val="clear" w:color="auto" w:fill="FFFFFF"/>
        <w:spacing w:after="240"/>
        <w:jc w:val="left"/>
        <w:rPr>
          <w:rFonts w:ascii="Arial" w:hAnsi="Arial" w:eastAsia="宋体" w:cs="Arial"/>
          <w:color w:val="212121"/>
          <w:kern w:val="0"/>
          <w:szCs w:val="21"/>
        </w:rPr>
      </w:pPr>
      <w:r>
        <w:rPr>
          <w:rFonts w:ascii="Arial" w:hAnsi="Arial" w:eastAsia="宋体" w:cs="Arial"/>
          <w:color w:val="212121"/>
          <w:kern w:val="0"/>
          <w:szCs w:val="21"/>
        </w:rPr>
        <w:t>(6)The warrant must be issued by the Exchange approved warehouse for delivery after passing its acceptance check based on relevant regulations.</w:t>
      </w:r>
    </w:p>
    <w:p>
      <w:pPr>
        <w:widowControl/>
        <w:shd w:val="clear" w:color="auto" w:fill="FFFFFF"/>
        <w:jc w:val="left"/>
        <w:rPr>
          <w:rFonts w:ascii="Arial" w:hAnsi="Arial" w:eastAsia="宋体" w:cs="Arial"/>
          <w:color w:val="212121"/>
          <w:kern w:val="0"/>
          <w:szCs w:val="21"/>
        </w:rPr>
      </w:pPr>
      <w:r>
        <w:rPr>
          <w:rFonts w:ascii="Arial" w:hAnsi="Arial" w:eastAsia="宋体" w:cs="Arial"/>
          <w:b/>
          <w:bCs/>
          <w:color w:val="212121"/>
          <w:kern w:val="0"/>
          <w:szCs w:val="21"/>
        </w:rPr>
        <w:t>III. The Exchange approved manufacturers and registered brands</w:t>
      </w:r>
    </w:p>
    <w:p>
      <w:pPr>
        <w:widowControl/>
        <w:shd w:val="clear" w:color="auto" w:fill="FFFFFF"/>
        <w:spacing w:after="240"/>
        <w:jc w:val="left"/>
        <w:rPr>
          <w:rFonts w:ascii="Arial" w:hAnsi="Arial" w:eastAsia="宋体" w:cs="Arial"/>
          <w:color w:val="212121"/>
          <w:kern w:val="0"/>
          <w:szCs w:val="21"/>
        </w:rPr>
      </w:pPr>
      <w:r>
        <w:rPr>
          <w:rFonts w:ascii="Arial" w:hAnsi="Arial" w:eastAsia="宋体" w:cs="Arial"/>
          <w:color w:val="212121"/>
          <w:kern w:val="0"/>
          <w:szCs w:val="21"/>
        </w:rPr>
        <w:t>Copper cathode used for physical delivery must be of the brand registered with the Exchange. The specific registered brand as well as the premium and discount standard will be provided and announced by the Exchange.</w:t>
      </w:r>
    </w:p>
    <w:p>
      <w:pPr>
        <w:widowControl/>
        <w:shd w:val="clear" w:color="auto" w:fill="FFFFFF"/>
        <w:jc w:val="left"/>
        <w:rPr>
          <w:rFonts w:ascii="Arial" w:hAnsi="Arial" w:eastAsia="宋体" w:cs="Arial"/>
          <w:color w:val="212121"/>
          <w:kern w:val="0"/>
          <w:szCs w:val="21"/>
        </w:rPr>
      </w:pPr>
      <w:r>
        <w:rPr>
          <w:rFonts w:ascii="Arial" w:hAnsi="Arial" w:eastAsia="宋体" w:cs="Arial"/>
          <w:b/>
          <w:bCs/>
          <w:color w:val="212121"/>
          <w:kern w:val="0"/>
          <w:szCs w:val="21"/>
        </w:rPr>
        <w:t>IV. Approved warehouses for delivery</w:t>
      </w:r>
    </w:p>
    <w:p>
      <w:pPr>
        <w:widowControl/>
        <w:shd w:val="clear" w:color="auto" w:fill="FFFFFF"/>
        <w:spacing w:after="240"/>
        <w:jc w:val="left"/>
        <w:rPr>
          <w:rFonts w:ascii="Arial" w:hAnsi="Arial" w:eastAsia="宋体" w:cs="Arial"/>
          <w:color w:val="212121"/>
          <w:kern w:val="0"/>
          <w:szCs w:val="21"/>
        </w:rPr>
      </w:pPr>
      <w:r>
        <w:rPr>
          <w:rFonts w:ascii="Arial" w:hAnsi="Arial" w:eastAsia="宋体" w:cs="Arial"/>
          <w:color w:val="212121"/>
          <w:kern w:val="0"/>
          <w:szCs w:val="21"/>
        </w:rPr>
        <w:t>The Exchange will designate and announce the warehouse for delivery. The premium and discount standard for warehouse for delivery at different locations will also be provided and announced by the Exchange.</w:t>
      </w:r>
    </w:p>
    <w:p>
      <w:pPr>
        <w:widowControl/>
        <w:shd w:val="clear" w:color="auto" w:fill="FFFFFF"/>
        <w:spacing w:after="240"/>
        <w:jc w:val="left"/>
        <w:rPr>
          <w:rFonts w:ascii="Arial" w:hAnsi="Arial" w:eastAsia="宋体" w:cs="Arial"/>
          <w:color w:val="212121"/>
          <w:kern w:val="0"/>
          <w:szCs w:val="21"/>
        </w:rPr>
      </w:pPr>
      <w:r>
        <w:rPr>
          <w:rFonts w:ascii="Arial" w:hAnsi="Arial" w:eastAsia="宋体" w:cs="Arial"/>
          <w:color w:val="212121"/>
          <w:kern w:val="0"/>
          <w:szCs w:val="21"/>
        </w:rPr>
        <w:t>Note: The appendix to this Contract is applicable to CU1006 and later month contracts.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xYzYwMDU5MzA5M2FmNzE0ZmJjODYzM2M5ZmNjN2UifQ=="/>
  </w:docVars>
  <w:rsids>
    <w:rsidRoot w:val="00BC6BB8"/>
    <w:rsid w:val="000462FF"/>
    <w:rsid w:val="001141FD"/>
    <w:rsid w:val="002B6FD5"/>
    <w:rsid w:val="002B7E04"/>
    <w:rsid w:val="004E5511"/>
    <w:rsid w:val="006612F3"/>
    <w:rsid w:val="00704F02"/>
    <w:rsid w:val="0079414D"/>
    <w:rsid w:val="007B1870"/>
    <w:rsid w:val="00A3420C"/>
    <w:rsid w:val="00AC29E2"/>
    <w:rsid w:val="00B45B51"/>
    <w:rsid w:val="00BC6BB8"/>
    <w:rsid w:val="00E50543"/>
    <w:rsid w:val="00EE5F97"/>
    <w:rsid w:val="00F71B79"/>
    <w:rsid w:val="00F96D4C"/>
    <w:rsid w:val="5AD81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95B10-1DB2-4778-8E77-5646CED72F28}">
  <ds:schemaRefs/>
</ds:datastoreItem>
</file>

<file path=docProps/app.xml><?xml version="1.0" encoding="utf-8"?>
<Properties xmlns="http://schemas.openxmlformats.org/officeDocument/2006/extended-properties" xmlns:vt="http://schemas.openxmlformats.org/officeDocument/2006/docPropsVTypes">
  <Template>Normal.dotm</Template>
  <Company>SHFE</Company>
  <Pages>2</Pages>
  <Words>476</Words>
  <Characters>2596</Characters>
  <Lines>21</Lines>
  <Paragraphs>6</Paragraphs>
  <TotalTime>14</TotalTime>
  <ScaleCrop>false</ScaleCrop>
  <LinksUpToDate>false</LinksUpToDate>
  <CharactersWithSpaces>3023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2022-03-07T02:40:00Z</dcterms:created>
  <dc:creator>叶勇</dc:creator>
  <cp:lastModifiedBy>shi si</cp:lastModifiedBy>
  <dcterms:modified xsi:type="dcterms:W3CDTF">2022-06-06T05:03:42Z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1C56A77511464BAC977E8EDA64F5AD05</vt:lpwstr>
  </property>
</Properties>
</file>