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EE" w:rsidRPr="003A1BBA" w:rsidRDefault="00E12AEE" w:rsidP="00E12AEE">
      <w:pPr>
        <w:widowControl/>
        <w:adjustRightInd w:val="0"/>
        <w:snapToGrid w:val="0"/>
        <w:spacing w:beforeLines="30" w:afterLines="100" w:line="276" w:lineRule="auto"/>
        <w:jc w:val="left"/>
        <w:rPr>
          <w:rFonts w:ascii="Times New Roman" w:hAnsi="Times New Roman"/>
          <w:b/>
          <w:bCs/>
          <w:sz w:val="32"/>
          <w:szCs w:val="32"/>
        </w:rPr>
      </w:pPr>
      <w:bookmarkStart w:id="0" w:name="OLE_LINK3"/>
      <w:bookmarkStart w:id="1" w:name="OLE_LINK4"/>
      <w:bookmarkStart w:id="2" w:name="OLE_LINK11"/>
      <w:r w:rsidRPr="003A1BBA">
        <w:rPr>
          <w:rFonts w:ascii="Times New Roman" w:hAnsi="Times New Roman" w:hint="eastAsia"/>
          <w:b/>
          <w:bCs/>
          <w:sz w:val="32"/>
          <w:szCs w:val="32"/>
        </w:rPr>
        <w:t>Appendix</w:t>
      </w:r>
      <w:r>
        <w:rPr>
          <w:rFonts w:ascii="Times New Roman" w:hAnsi="Times New Roman" w:hint="eastAsia"/>
          <w:b/>
          <w:bCs/>
          <w:sz w:val="32"/>
          <w:szCs w:val="32"/>
        </w:rPr>
        <w:t xml:space="preserve"> </w:t>
      </w:r>
      <w:r>
        <w:rPr>
          <w:rFonts w:ascii="Times New Roman" w:hAnsi="Times New Roman"/>
          <w:b/>
          <w:bCs/>
          <w:sz w:val="32"/>
          <w:szCs w:val="32"/>
        </w:rPr>
        <w:t>1</w:t>
      </w:r>
    </w:p>
    <w:p w:rsidR="00E12AEE" w:rsidRPr="00B20D02" w:rsidRDefault="00E12AEE" w:rsidP="00E12AEE">
      <w:pPr>
        <w:adjustRightInd w:val="0"/>
        <w:snapToGrid w:val="0"/>
        <w:spacing w:afterLines="100" w:line="276" w:lineRule="auto"/>
        <w:jc w:val="center"/>
        <w:rPr>
          <w:rFonts w:ascii="Times New Roman" w:eastAsia="宋体" w:hAnsi="Times New Roman" w:cs="Times New Roman"/>
          <w:b/>
          <w:sz w:val="28"/>
          <w:szCs w:val="28"/>
        </w:rPr>
      </w:pPr>
      <w:r w:rsidRPr="004455A5">
        <w:rPr>
          <w:rFonts w:ascii="Times New Roman" w:eastAsia="宋体" w:hAnsi="Times New Roman" w:cs="Times New Roman"/>
          <w:b/>
          <w:sz w:val="28"/>
          <w:szCs w:val="28"/>
        </w:rPr>
        <w:t>SHFE</w:t>
      </w:r>
      <w:r>
        <w:rPr>
          <w:rFonts w:ascii="Times New Roman" w:eastAsia="宋体" w:hAnsi="Times New Roman" w:cs="Times New Roman" w:hint="eastAsia"/>
          <w:b/>
          <w:sz w:val="28"/>
          <w:szCs w:val="28"/>
        </w:rPr>
        <w:t xml:space="preserve"> </w:t>
      </w:r>
      <w:r w:rsidRPr="00B20D02">
        <w:rPr>
          <w:rFonts w:ascii="Times New Roman" w:eastAsia="宋体" w:hAnsi="Times New Roman" w:cs="Times New Roman"/>
          <w:b/>
          <w:sz w:val="28"/>
          <w:szCs w:val="28"/>
        </w:rPr>
        <w:t>Butadiene Rubber</w:t>
      </w:r>
      <w:bookmarkEnd w:id="0"/>
      <w:bookmarkEnd w:id="1"/>
      <w:bookmarkEnd w:id="2"/>
      <w:r>
        <w:rPr>
          <w:rFonts w:ascii="Times New Roman" w:eastAsia="宋体" w:hAnsi="Times New Roman" w:cs="Times New Roman" w:hint="eastAsia"/>
          <w:b/>
          <w:sz w:val="28"/>
          <w:szCs w:val="28"/>
        </w:rPr>
        <w:t xml:space="preserve"> </w:t>
      </w:r>
      <w:r w:rsidRPr="00B20D02">
        <w:rPr>
          <w:rFonts w:ascii="Times New Roman" w:eastAsia="宋体" w:hAnsi="Times New Roman" w:cs="Times New Roman"/>
          <w:b/>
          <w:sz w:val="28"/>
          <w:szCs w:val="28"/>
        </w:rPr>
        <w:t>Futures Contract Specifications</w:t>
      </w:r>
    </w:p>
    <w:tbl>
      <w:tblPr>
        <w:tblW w:w="91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2235"/>
        <w:gridCol w:w="6945"/>
      </w:tblGrid>
      <w:tr w:rsidR="00E12AEE" w:rsidRPr="00B20D02" w:rsidTr="00AC43FF">
        <w:trPr>
          <w:trHeight w:val="515"/>
        </w:trPr>
        <w:tc>
          <w:tcPr>
            <w:tcW w:w="2235" w:type="dxa"/>
            <w:tcBorders>
              <w:top w:val="single" w:sz="8"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Product </w:t>
            </w:r>
          </w:p>
        </w:tc>
        <w:tc>
          <w:tcPr>
            <w:tcW w:w="6945" w:type="dxa"/>
            <w:tcBorders>
              <w:top w:val="single" w:sz="8"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Butadiene Rubber</w:t>
            </w:r>
          </w:p>
        </w:tc>
      </w:tr>
      <w:tr w:rsidR="00E12AEE" w:rsidRPr="00B20D02" w:rsidTr="00AC43FF">
        <w:trPr>
          <w:trHeight w:val="430"/>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Contract Size </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5 metric tons/lot </w:t>
            </w:r>
          </w:p>
        </w:tc>
      </w:tr>
      <w:tr w:rsidR="00E12AEE" w:rsidRPr="00B20D02" w:rsidTr="00AC43FF">
        <w:trPr>
          <w:trHeight w:val="481"/>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Price Quotation </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Yuan (RMB)/metric ton </w:t>
            </w:r>
          </w:p>
        </w:tc>
      </w:tr>
      <w:tr w:rsidR="00E12AEE" w:rsidRPr="00B20D02" w:rsidTr="00AC43FF">
        <w:trPr>
          <w:trHeight w:val="547"/>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Minimum Price Fluctuation </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5 Yuan/metric ton </w:t>
            </w:r>
          </w:p>
        </w:tc>
      </w:tr>
      <w:tr w:rsidR="00E12AEE" w:rsidRPr="00B20D02" w:rsidTr="00AC43FF">
        <w:trPr>
          <w:trHeight w:val="636"/>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Daily Price Limit</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Within ±5% of the settlement price of the preceding trading day</w:t>
            </w:r>
          </w:p>
        </w:tc>
      </w:tr>
      <w:tr w:rsidR="00E12AEE" w:rsidRPr="00B20D02" w:rsidTr="00AC43FF">
        <w:trPr>
          <w:trHeight w:val="636"/>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Listed Contracts </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January, February, March, April, May, June, July, August, September, October, November, and December</w:t>
            </w:r>
          </w:p>
        </w:tc>
      </w:tr>
      <w:tr w:rsidR="00E12AEE" w:rsidRPr="00B20D02" w:rsidTr="00AC43FF">
        <w:trPr>
          <w:trHeight w:val="636"/>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Trading Hours </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9:00 a.m. to 11:30 a.m., 1:30 p.m. to 3:00 p.m., and other hours specified by the Exchange (Beijing Time)</w:t>
            </w:r>
          </w:p>
        </w:tc>
      </w:tr>
      <w:tr w:rsidR="00E12AEE" w:rsidRPr="00B20D02" w:rsidTr="00AC43FF">
        <w:trPr>
          <w:trHeight w:val="636"/>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Last Trading Day </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15th day of the contract month (postponed accordingly if it is a legal holiday in China and subject to separate adjustment and announcement by the Exchange if it falls in the Spring Festival month or any other month specially designated by the Exchange)</w:t>
            </w:r>
          </w:p>
        </w:tc>
      </w:tr>
      <w:tr w:rsidR="00E12AEE" w:rsidRPr="00B20D02" w:rsidTr="00AC43FF">
        <w:trPr>
          <w:trHeight w:val="450"/>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Delivery Period </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hint="eastAsia"/>
                <w:kern w:val="0"/>
                <w:sz w:val="22"/>
              </w:rPr>
              <w:t>Two</w:t>
            </w:r>
            <w:r w:rsidRPr="00B20D02">
              <w:rPr>
                <w:rFonts w:ascii="Times New Roman" w:eastAsia="宋体" w:hAnsi="Times New Roman" w:cs="Times New Roman"/>
                <w:kern w:val="0"/>
                <w:sz w:val="22"/>
              </w:rPr>
              <w:t xml:space="preserve"> consecutive business days after the last trading day </w:t>
            </w:r>
          </w:p>
        </w:tc>
      </w:tr>
      <w:tr w:rsidR="00E12AEE" w:rsidRPr="00B20D02" w:rsidTr="00AC43FF">
        <w:trPr>
          <w:trHeight w:val="785"/>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Grade and Quality Specifications</w:t>
            </w:r>
          </w:p>
        </w:tc>
        <w:tc>
          <w:tcPr>
            <w:tcW w:w="6945" w:type="dxa"/>
            <w:tcBorders>
              <w:top w:val="single" w:sz="6" w:space="0" w:color="auto"/>
              <w:left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Butadiene Rubber with</w:t>
            </w:r>
            <w:r w:rsidRPr="00B20D02">
              <w:rPr>
                <w:rFonts w:ascii="Times New Roman" w:eastAsia="宋体" w:hAnsi="Times New Roman" w:cs="Times New Roman" w:hint="eastAsia"/>
                <w:kern w:val="0"/>
                <w:sz w:val="22"/>
              </w:rPr>
              <w:t xml:space="preserve"> at least</w:t>
            </w:r>
            <w:r w:rsidRPr="00B20D02">
              <w:rPr>
                <w:rFonts w:ascii="Times New Roman" w:eastAsia="宋体" w:hAnsi="Times New Roman" w:cs="Times New Roman"/>
                <w:kern w:val="0"/>
                <w:sz w:val="22"/>
              </w:rPr>
              <w:t xml:space="preserve"> a quality specification as set forth in </w:t>
            </w:r>
            <w:bookmarkStart w:id="3" w:name="OLE_LINK5"/>
            <w:bookmarkStart w:id="4" w:name="OLE_LINK6"/>
            <w:r w:rsidRPr="00B20D02">
              <w:rPr>
                <w:rFonts w:ascii="Times New Roman" w:eastAsia="宋体" w:hAnsi="Times New Roman" w:cs="Times New Roman"/>
                <w:kern w:val="0"/>
                <w:sz w:val="22"/>
              </w:rPr>
              <w:t>GB/T 8659-2018 Butadiene Rubber (BR) 9000</w:t>
            </w:r>
            <w:bookmarkEnd w:id="3"/>
            <w:bookmarkEnd w:id="4"/>
            <w:r w:rsidRPr="00B20D02">
              <w:rPr>
                <w:rFonts w:ascii="Times New Roman" w:eastAsia="宋体" w:hAnsi="Times New Roman" w:cs="Times New Roman"/>
                <w:kern w:val="0"/>
                <w:sz w:val="22"/>
              </w:rPr>
              <w:t xml:space="preserve"> for Grade I.</w:t>
            </w:r>
          </w:p>
        </w:tc>
      </w:tr>
      <w:tr w:rsidR="00E12AEE" w:rsidRPr="00B20D02" w:rsidTr="00AC43FF">
        <w:trPr>
          <w:trHeight w:val="467"/>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Delivery Venue </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Delivery </w:t>
            </w:r>
            <w:r w:rsidRPr="00B20D02">
              <w:rPr>
                <w:rFonts w:ascii="Times New Roman" w:eastAsia="宋体" w:hAnsi="Times New Roman" w:cs="Times New Roman" w:hint="eastAsia"/>
                <w:kern w:val="0"/>
                <w:sz w:val="22"/>
              </w:rPr>
              <w:t xml:space="preserve">venues </w:t>
            </w:r>
            <w:r w:rsidRPr="00B20D02">
              <w:rPr>
                <w:rFonts w:ascii="Times New Roman" w:eastAsia="宋体" w:hAnsi="Times New Roman" w:cs="Times New Roman"/>
                <w:kern w:val="0"/>
                <w:sz w:val="22"/>
              </w:rPr>
              <w:t xml:space="preserve">designated by the Exchange </w:t>
            </w:r>
          </w:p>
        </w:tc>
      </w:tr>
      <w:tr w:rsidR="00E12AEE" w:rsidRPr="00B20D02" w:rsidTr="00AC43FF">
        <w:trPr>
          <w:trHeight w:val="454"/>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Minimum Trading Margin </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7% of the contract value</w:t>
            </w:r>
          </w:p>
        </w:tc>
      </w:tr>
      <w:tr w:rsidR="00E12AEE" w:rsidRPr="00B20D02" w:rsidTr="00AC43FF">
        <w:trPr>
          <w:trHeight w:val="462"/>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Settlement Type </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Physical delivery</w:t>
            </w:r>
          </w:p>
        </w:tc>
      </w:tr>
      <w:tr w:rsidR="00E12AEE" w:rsidRPr="00B20D02" w:rsidTr="00AC43FF">
        <w:trPr>
          <w:trHeight w:val="462"/>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Delivery Unit</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10 metric tons</w:t>
            </w:r>
          </w:p>
        </w:tc>
      </w:tr>
      <w:tr w:rsidR="00E12AEE" w:rsidRPr="00B20D02" w:rsidTr="00AC43FF">
        <w:trPr>
          <w:trHeight w:val="445"/>
        </w:trPr>
        <w:tc>
          <w:tcPr>
            <w:tcW w:w="2235"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Contract Symbol </w:t>
            </w:r>
          </w:p>
        </w:tc>
        <w:tc>
          <w:tcPr>
            <w:tcW w:w="6945"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BR</w:t>
            </w:r>
          </w:p>
        </w:tc>
      </w:tr>
      <w:tr w:rsidR="00E12AEE" w:rsidRPr="00B20D02" w:rsidTr="00AC43FF">
        <w:trPr>
          <w:trHeight w:val="424"/>
        </w:trPr>
        <w:tc>
          <w:tcPr>
            <w:tcW w:w="2235" w:type="dxa"/>
            <w:tcBorders>
              <w:top w:val="single" w:sz="6" w:space="0" w:color="auto"/>
              <w:left w:val="single" w:sz="8" w:space="0" w:color="auto"/>
              <w:bottom w:val="single" w:sz="8" w:space="0" w:color="auto"/>
              <w:right w:val="single" w:sz="6"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 xml:space="preserve">Listing Exchange </w:t>
            </w:r>
          </w:p>
        </w:tc>
        <w:tc>
          <w:tcPr>
            <w:tcW w:w="6945" w:type="dxa"/>
            <w:tcBorders>
              <w:top w:val="single" w:sz="6" w:space="0" w:color="auto"/>
              <w:left w:val="single" w:sz="6" w:space="0" w:color="auto"/>
              <w:bottom w:val="single" w:sz="8" w:space="0" w:color="auto"/>
              <w:right w:val="single" w:sz="8" w:space="0" w:color="auto"/>
            </w:tcBorders>
            <w:shd w:val="clear" w:color="auto" w:fill="auto"/>
            <w:vAlign w:val="center"/>
            <w:hideMark/>
          </w:tcPr>
          <w:p w:rsidR="00E12AEE" w:rsidRPr="00B20D02" w:rsidRDefault="00E12AEE" w:rsidP="00AC43FF">
            <w:pPr>
              <w:widowControl/>
              <w:adjustRightInd w:val="0"/>
              <w:snapToGrid w:val="0"/>
              <w:spacing w:line="276" w:lineRule="auto"/>
              <w:jc w:val="left"/>
              <w:rPr>
                <w:rFonts w:ascii="Times New Roman" w:eastAsia="宋体" w:hAnsi="Times New Roman" w:cs="Times New Roman"/>
                <w:kern w:val="0"/>
                <w:sz w:val="22"/>
              </w:rPr>
            </w:pPr>
            <w:r w:rsidRPr="00B20D02">
              <w:rPr>
                <w:rFonts w:ascii="Times New Roman" w:eastAsia="宋体" w:hAnsi="Times New Roman" w:cs="Times New Roman"/>
                <w:kern w:val="0"/>
                <w:sz w:val="22"/>
              </w:rPr>
              <w:t>Shanghai Futures Exchange</w:t>
            </w:r>
          </w:p>
        </w:tc>
      </w:tr>
    </w:tbl>
    <w:p w:rsidR="00E12AEE" w:rsidRPr="00B20D02" w:rsidRDefault="00E12AEE" w:rsidP="00E12AEE">
      <w:pPr>
        <w:adjustRightInd w:val="0"/>
        <w:snapToGrid w:val="0"/>
        <w:spacing w:afterLines="100" w:line="276" w:lineRule="auto"/>
        <w:jc w:val="left"/>
        <w:rPr>
          <w:rFonts w:ascii="Times New Roman" w:eastAsia="宋体" w:hAnsi="Times New Roman" w:cs="Times New Roman"/>
          <w:b/>
          <w:sz w:val="22"/>
        </w:rPr>
      </w:pPr>
    </w:p>
    <w:p w:rsidR="00E12AEE" w:rsidRPr="003C462A" w:rsidRDefault="00E12AEE" w:rsidP="00E12AEE">
      <w:pPr>
        <w:widowControl/>
        <w:jc w:val="left"/>
      </w:pPr>
      <w:r>
        <w:br w:type="page"/>
      </w:r>
    </w:p>
    <w:p w:rsidR="00E12AEE" w:rsidRDefault="00E12AEE" w:rsidP="00E12AEE">
      <w:pPr>
        <w:widowControl/>
        <w:adjustRightInd w:val="0"/>
        <w:snapToGrid w:val="0"/>
        <w:spacing w:before="100" w:beforeAutospacing="1" w:afterLines="200" w:line="276" w:lineRule="auto"/>
        <w:jc w:val="center"/>
        <w:rPr>
          <w:rFonts w:ascii="Times New Roman" w:eastAsia="宋体" w:hAnsi="Times New Roman"/>
          <w:b/>
          <w:sz w:val="28"/>
          <w:szCs w:val="28"/>
        </w:rPr>
      </w:pPr>
      <w:r>
        <w:rPr>
          <w:rFonts w:ascii="Times New Roman" w:eastAsia="宋体" w:hAnsi="Times New Roman"/>
          <w:b/>
          <w:sz w:val="28"/>
          <w:szCs w:val="28"/>
        </w:rPr>
        <w:lastRenderedPageBreak/>
        <w:t xml:space="preserve">Appendix to </w:t>
      </w:r>
      <w:bookmarkStart w:id="5" w:name="OLE_LINK13"/>
      <w:bookmarkStart w:id="6" w:name="OLE_LINK12"/>
      <w:r>
        <w:rPr>
          <w:rFonts w:ascii="Times New Roman" w:eastAsia="宋体" w:hAnsi="Times New Roman"/>
          <w:b/>
          <w:sz w:val="28"/>
          <w:szCs w:val="28"/>
        </w:rPr>
        <w:t>Butadiene Rubber</w:t>
      </w:r>
      <w:bookmarkEnd w:id="5"/>
      <w:bookmarkEnd w:id="6"/>
      <w:r>
        <w:rPr>
          <w:rFonts w:ascii="Times New Roman" w:eastAsia="宋体" w:hAnsi="Times New Roman"/>
          <w:b/>
          <w:sz w:val="28"/>
          <w:szCs w:val="28"/>
        </w:rPr>
        <w:t xml:space="preserve"> Futures Contract </w:t>
      </w:r>
      <w:r>
        <w:rPr>
          <w:rFonts w:ascii="Times New Roman" w:eastAsia="宋体" w:hAnsi="Times New Roman" w:hint="eastAsia"/>
          <w:b/>
          <w:sz w:val="28"/>
          <w:szCs w:val="28"/>
        </w:rPr>
        <w:t>Specifications</w:t>
      </w:r>
    </w:p>
    <w:p w:rsidR="00E12AEE" w:rsidRDefault="00E12AEE" w:rsidP="00E12AEE">
      <w:pPr>
        <w:tabs>
          <w:tab w:val="left" w:pos="709"/>
        </w:tabs>
        <w:adjustRightInd w:val="0"/>
        <w:snapToGrid w:val="0"/>
        <w:spacing w:afterLines="100" w:line="276" w:lineRule="auto"/>
        <w:ind w:left="-2"/>
        <w:jc w:val="left"/>
        <w:rPr>
          <w:rFonts w:ascii="Times New Roman" w:eastAsia="宋体" w:hAnsi="Times New Roman"/>
          <w:b/>
          <w:sz w:val="22"/>
        </w:rPr>
      </w:pPr>
      <w:r>
        <w:rPr>
          <w:rFonts w:ascii="Times New Roman" w:eastAsia="宋体" w:hAnsi="Times New Roman"/>
          <w:b/>
          <w:sz w:val="22"/>
        </w:rPr>
        <w:t>I.</w:t>
      </w:r>
      <w:r>
        <w:rPr>
          <w:rFonts w:ascii="Times New Roman" w:eastAsia="宋体" w:hAnsi="Times New Roman"/>
          <w:b/>
          <w:sz w:val="22"/>
        </w:rPr>
        <w:tab/>
        <w:t>Delivery Unit</w:t>
      </w:r>
    </w:p>
    <w:p w:rsidR="00E12AEE" w:rsidRDefault="00E12AEE" w:rsidP="00E12AEE">
      <w:pPr>
        <w:adjustRightInd w:val="0"/>
        <w:snapToGrid w:val="0"/>
        <w:spacing w:afterLines="100" w:line="276" w:lineRule="auto"/>
        <w:jc w:val="left"/>
        <w:rPr>
          <w:rFonts w:ascii="Times New Roman" w:eastAsia="宋体" w:hAnsi="Times New Roman"/>
          <w:sz w:val="22"/>
        </w:rPr>
      </w:pPr>
      <w:r>
        <w:rPr>
          <w:rFonts w:ascii="Times New Roman" w:eastAsia="宋体" w:hAnsi="Times New Roman"/>
          <w:sz w:val="22"/>
        </w:rPr>
        <w:t>The contract size for butadiene rubber (BR) futures is 5 metric tons per contract; the delivery unit is 10 metric tons</w:t>
      </w:r>
      <w:r>
        <w:rPr>
          <w:rFonts w:ascii="Times New Roman" w:eastAsia="宋体" w:hAnsi="Times New Roman" w:hint="eastAsia"/>
          <w:sz w:val="22"/>
        </w:rPr>
        <w:t xml:space="preserve"> per</w:t>
      </w:r>
      <w:r>
        <w:rPr>
          <w:rFonts w:ascii="Times New Roman" w:eastAsia="宋体" w:hAnsi="Times New Roman"/>
          <w:sz w:val="22"/>
        </w:rPr>
        <w:t xml:space="preserve"> standard warrant. Delivery shall be made in integral multiple(s) of each standard warrant.</w:t>
      </w:r>
    </w:p>
    <w:p w:rsidR="00E12AEE" w:rsidRDefault="00E12AEE" w:rsidP="00E12AEE">
      <w:pPr>
        <w:tabs>
          <w:tab w:val="left" w:pos="709"/>
        </w:tabs>
        <w:adjustRightInd w:val="0"/>
        <w:snapToGrid w:val="0"/>
        <w:spacing w:afterLines="100" w:line="276" w:lineRule="auto"/>
        <w:ind w:left="-2"/>
        <w:jc w:val="left"/>
        <w:rPr>
          <w:rFonts w:ascii="Times New Roman" w:eastAsia="宋体" w:hAnsi="Times New Roman"/>
          <w:b/>
          <w:sz w:val="22"/>
        </w:rPr>
      </w:pPr>
      <w:r>
        <w:rPr>
          <w:rFonts w:ascii="Times New Roman" w:eastAsia="宋体" w:hAnsi="Times New Roman"/>
          <w:b/>
          <w:sz w:val="22"/>
        </w:rPr>
        <w:t>II.</w:t>
      </w:r>
      <w:r>
        <w:rPr>
          <w:rFonts w:ascii="Times New Roman" w:eastAsia="宋体" w:hAnsi="Times New Roman"/>
          <w:b/>
          <w:sz w:val="22"/>
        </w:rPr>
        <w:tab/>
        <w:t>Quality Standards</w:t>
      </w:r>
    </w:p>
    <w:p w:rsidR="00E12AEE" w:rsidRDefault="00E12AEE" w:rsidP="00E12AEE">
      <w:pPr>
        <w:adjustRightInd w:val="0"/>
        <w:snapToGrid w:val="0"/>
        <w:spacing w:afterLines="100" w:line="276" w:lineRule="auto"/>
        <w:jc w:val="left"/>
        <w:rPr>
          <w:rFonts w:ascii="Times New Roman" w:eastAsia="宋体" w:hAnsi="Times New Roman"/>
          <w:sz w:val="22"/>
        </w:rPr>
      </w:pPr>
      <w:r>
        <w:rPr>
          <w:rFonts w:ascii="Times New Roman" w:eastAsia="宋体" w:hAnsi="Times New Roman"/>
          <w:sz w:val="22"/>
        </w:rPr>
        <w:t xml:space="preserve">1. </w:t>
      </w:r>
      <w:bookmarkStart w:id="7" w:name="OLE_LINK37"/>
      <w:bookmarkStart w:id="8" w:name="OLE_LINK38"/>
      <w:r>
        <w:rPr>
          <w:rFonts w:ascii="Times New Roman" w:eastAsia="宋体" w:hAnsi="Times New Roman" w:hint="eastAsia"/>
          <w:sz w:val="22"/>
        </w:rPr>
        <w:t xml:space="preserve">Deliverable </w:t>
      </w:r>
      <w:r>
        <w:rPr>
          <w:rFonts w:ascii="Times New Roman" w:eastAsia="宋体" w:hAnsi="Times New Roman"/>
          <w:sz w:val="22"/>
        </w:rPr>
        <w:t xml:space="preserve">butadiene rubber </w:t>
      </w:r>
      <w:bookmarkEnd w:id="7"/>
      <w:bookmarkEnd w:id="8"/>
      <w:r>
        <w:rPr>
          <w:rFonts w:ascii="Times New Roman" w:eastAsia="宋体" w:hAnsi="Times New Roman"/>
          <w:sz w:val="22"/>
        </w:rPr>
        <w:t>shall meet or exceed the standards set forth in GB/T 8659-2018 Butadiene Rubber (BR) 9000 for Grade I butadiene rubber.</w:t>
      </w:r>
    </w:p>
    <w:p w:rsidR="00E12AEE" w:rsidRDefault="00E12AEE" w:rsidP="00E12AEE">
      <w:pPr>
        <w:adjustRightInd w:val="0"/>
        <w:snapToGrid w:val="0"/>
        <w:spacing w:afterLines="100" w:line="276" w:lineRule="auto"/>
        <w:jc w:val="left"/>
        <w:rPr>
          <w:rFonts w:ascii="Times New Roman" w:eastAsia="宋体" w:hAnsi="Times New Roman"/>
          <w:sz w:val="22"/>
        </w:rPr>
      </w:pPr>
      <w:r>
        <w:rPr>
          <w:rFonts w:ascii="Times New Roman" w:eastAsia="宋体" w:hAnsi="Times New Roman"/>
          <w:sz w:val="22"/>
        </w:rPr>
        <w:t xml:space="preserve">2. Butadiene rubber underlying each standard warrant shall be </w:t>
      </w:r>
      <w:r>
        <w:rPr>
          <w:rFonts w:ascii="Times New Roman" w:eastAsia="宋体" w:hAnsi="Times New Roman" w:hint="eastAsia"/>
          <w:sz w:val="22"/>
        </w:rPr>
        <w:t xml:space="preserve">recognized </w:t>
      </w:r>
      <w:r>
        <w:rPr>
          <w:rFonts w:ascii="Times New Roman" w:eastAsia="宋体" w:hAnsi="Times New Roman"/>
          <w:sz w:val="22"/>
        </w:rPr>
        <w:t xml:space="preserve">by </w:t>
      </w:r>
      <w:r>
        <w:rPr>
          <w:rFonts w:ascii="Times New Roman" w:eastAsia="宋体" w:hAnsi="Times New Roman" w:hint="eastAsia"/>
          <w:sz w:val="22"/>
        </w:rPr>
        <w:t>SHFE</w:t>
      </w:r>
      <w:r>
        <w:rPr>
          <w:rFonts w:ascii="Times New Roman" w:eastAsia="宋体" w:hAnsi="Times New Roman"/>
          <w:sz w:val="22"/>
        </w:rPr>
        <w:t>, accompanied by corresponding certificate of quality.</w:t>
      </w:r>
    </w:p>
    <w:p w:rsidR="00E12AEE" w:rsidRDefault="00E12AEE" w:rsidP="00E12AEE">
      <w:pPr>
        <w:adjustRightInd w:val="0"/>
        <w:snapToGrid w:val="0"/>
        <w:spacing w:afterLines="100" w:line="276" w:lineRule="auto"/>
        <w:jc w:val="left"/>
        <w:rPr>
          <w:rFonts w:ascii="Times New Roman" w:eastAsia="宋体" w:hAnsi="Times New Roman"/>
          <w:sz w:val="22"/>
        </w:rPr>
      </w:pPr>
      <w:r>
        <w:rPr>
          <w:rFonts w:ascii="Times New Roman" w:eastAsia="宋体" w:hAnsi="Times New Roman"/>
          <w:sz w:val="22"/>
        </w:rPr>
        <w:t xml:space="preserve">3. Butadiene rubber underlying each standard warrant shall </w:t>
      </w:r>
      <w:r>
        <w:rPr>
          <w:rFonts w:ascii="Times New Roman" w:eastAsia="宋体" w:hAnsi="Times New Roman" w:hint="eastAsia"/>
          <w:sz w:val="22"/>
        </w:rPr>
        <w:t>be</w:t>
      </w:r>
      <w:bookmarkStart w:id="9" w:name="OLE_LINK30"/>
      <w:bookmarkStart w:id="10" w:name="OLE_LINK29"/>
      <w:r>
        <w:rPr>
          <w:rFonts w:ascii="Times New Roman" w:eastAsia="宋体" w:hAnsi="Times New Roman"/>
          <w:sz w:val="22"/>
        </w:rPr>
        <w:t xml:space="preserve"> of the same manufacturer, brand, grade, and packaging specification and </w:t>
      </w:r>
      <w:r>
        <w:rPr>
          <w:rFonts w:ascii="Times New Roman" w:eastAsia="宋体" w:hAnsi="Times New Roman" w:hint="eastAsia"/>
          <w:sz w:val="22"/>
        </w:rPr>
        <w:t xml:space="preserve">have </w:t>
      </w:r>
      <w:bookmarkStart w:id="11" w:name="OLE_LINK14"/>
      <w:r>
        <w:rPr>
          <w:rFonts w:ascii="Times New Roman" w:eastAsia="宋体" w:hAnsi="Times New Roman" w:hint="eastAsia"/>
          <w:sz w:val="22"/>
        </w:rPr>
        <w:t>a range of</w:t>
      </w:r>
      <w:r>
        <w:rPr>
          <w:rFonts w:ascii="Times New Roman" w:eastAsia="宋体" w:hAnsi="Times New Roman"/>
          <w:sz w:val="22"/>
        </w:rPr>
        <w:t xml:space="preserve"> production dates not exceeding</w:t>
      </w:r>
      <w:bookmarkEnd w:id="11"/>
      <w:r>
        <w:rPr>
          <w:rFonts w:ascii="Times New Roman" w:eastAsia="宋体" w:hAnsi="Times New Roman"/>
          <w:sz w:val="22"/>
        </w:rPr>
        <w:t xml:space="preserve"> 30 consecutive days.</w:t>
      </w:r>
      <w:bookmarkEnd w:id="9"/>
      <w:bookmarkEnd w:id="10"/>
    </w:p>
    <w:p w:rsidR="00E12AEE" w:rsidRDefault="00E12AEE" w:rsidP="00E12AEE">
      <w:pPr>
        <w:tabs>
          <w:tab w:val="left" w:pos="709"/>
        </w:tabs>
        <w:adjustRightInd w:val="0"/>
        <w:snapToGrid w:val="0"/>
        <w:spacing w:afterLines="100" w:line="276" w:lineRule="auto"/>
        <w:ind w:left="-2"/>
        <w:jc w:val="left"/>
        <w:rPr>
          <w:rFonts w:ascii="Times New Roman" w:eastAsia="宋体" w:hAnsi="Times New Roman"/>
          <w:b/>
          <w:sz w:val="22"/>
        </w:rPr>
      </w:pPr>
      <w:r>
        <w:rPr>
          <w:rFonts w:ascii="Times New Roman" w:eastAsia="宋体" w:hAnsi="Times New Roman"/>
          <w:b/>
          <w:sz w:val="22"/>
        </w:rPr>
        <w:t>III.</w:t>
      </w:r>
      <w:r>
        <w:rPr>
          <w:rFonts w:ascii="Times New Roman" w:eastAsia="宋体" w:hAnsi="Times New Roman"/>
          <w:b/>
          <w:sz w:val="22"/>
        </w:rPr>
        <w:tab/>
        <w:t>SHFE</w:t>
      </w:r>
      <w:r>
        <w:rPr>
          <w:rFonts w:ascii="Times New Roman" w:eastAsia="宋体" w:hAnsi="Times New Roman" w:hint="eastAsia"/>
          <w:b/>
          <w:sz w:val="22"/>
        </w:rPr>
        <w:t xml:space="preserve"> </w:t>
      </w:r>
      <w:r>
        <w:rPr>
          <w:rFonts w:ascii="Times New Roman" w:eastAsia="宋体" w:hAnsi="Times New Roman"/>
          <w:b/>
          <w:sz w:val="22"/>
        </w:rPr>
        <w:t>Recognition</w:t>
      </w:r>
    </w:p>
    <w:p w:rsidR="00E12AEE" w:rsidRDefault="00E12AEE" w:rsidP="00E12AEE">
      <w:pPr>
        <w:adjustRightInd w:val="0"/>
        <w:snapToGrid w:val="0"/>
        <w:spacing w:afterLines="100" w:line="276" w:lineRule="auto"/>
        <w:jc w:val="left"/>
        <w:rPr>
          <w:rFonts w:ascii="Times New Roman" w:eastAsia="宋体" w:hAnsi="Times New Roman"/>
          <w:sz w:val="22"/>
        </w:rPr>
      </w:pPr>
      <w:r>
        <w:rPr>
          <w:rFonts w:ascii="Times New Roman" w:eastAsia="宋体" w:hAnsi="Times New Roman"/>
          <w:kern w:val="0"/>
          <w:sz w:val="22"/>
        </w:rPr>
        <w:t>Deliverable butadiene rubber</w:t>
      </w:r>
      <w:r>
        <w:rPr>
          <w:rFonts w:ascii="Times New Roman" w:eastAsia="宋体" w:hAnsi="Times New Roman" w:hint="eastAsia"/>
          <w:kern w:val="0"/>
          <w:sz w:val="22"/>
        </w:rPr>
        <w:t xml:space="preserve"> </w:t>
      </w:r>
      <w:r>
        <w:rPr>
          <w:rFonts w:ascii="Times New Roman" w:eastAsia="宋体" w:hAnsi="Times New Roman" w:hint="eastAsia"/>
          <w:sz w:val="22"/>
        </w:rPr>
        <w:t xml:space="preserve">shall </w:t>
      </w:r>
      <w:r>
        <w:rPr>
          <w:rFonts w:ascii="Times New Roman" w:eastAsia="宋体" w:hAnsi="Times New Roman"/>
          <w:sz w:val="22"/>
        </w:rPr>
        <w:t xml:space="preserve">be recognized by and registered with </w:t>
      </w:r>
      <w:r>
        <w:rPr>
          <w:rFonts w:ascii="Times New Roman" w:eastAsia="宋体" w:hAnsi="Times New Roman" w:hint="eastAsia"/>
          <w:sz w:val="22"/>
        </w:rPr>
        <w:t>SHFE</w:t>
      </w:r>
      <w:r>
        <w:rPr>
          <w:rFonts w:ascii="Times New Roman" w:eastAsia="宋体" w:hAnsi="Times New Roman"/>
          <w:sz w:val="22"/>
        </w:rPr>
        <w:t>. The lists of recognized manufacturer</w:t>
      </w:r>
      <w:r>
        <w:rPr>
          <w:rFonts w:ascii="Times New Roman" w:eastAsia="宋体" w:hAnsi="Times New Roman" w:hint="eastAsia"/>
          <w:sz w:val="22"/>
        </w:rPr>
        <w:t xml:space="preserve">s and </w:t>
      </w:r>
      <w:r>
        <w:rPr>
          <w:rFonts w:ascii="Times New Roman" w:eastAsia="宋体" w:hAnsi="Times New Roman"/>
          <w:sz w:val="22"/>
        </w:rPr>
        <w:t xml:space="preserve">registered brands will be separately </w:t>
      </w:r>
      <w:r>
        <w:rPr>
          <w:rFonts w:ascii="Times New Roman" w:eastAsia="宋体" w:hAnsi="Times New Roman" w:hint="eastAsia"/>
          <w:sz w:val="22"/>
        </w:rPr>
        <w:t>specified</w:t>
      </w:r>
      <w:r>
        <w:rPr>
          <w:rFonts w:ascii="Times New Roman" w:eastAsia="宋体" w:hAnsi="Times New Roman"/>
          <w:sz w:val="22"/>
        </w:rPr>
        <w:t xml:space="preserve"> and announced by SHFE.</w:t>
      </w:r>
    </w:p>
    <w:p w:rsidR="00E12AEE" w:rsidRDefault="00E12AEE" w:rsidP="00E12AEE">
      <w:pPr>
        <w:tabs>
          <w:tab w:val="left" w:pos="709"/>
        </w:tabs>
        <w:adjustRightInd w:val="0"/>
        <w:snapToGrid w:val="0"/>
        <w:spacing w:afterLines="100" w:line="276" w:lineRule="auto"/>
        <w:ind w:left="-2"/>
        <w:jc w:val="left"/>
        <w:rPr>
          <w:rFonts w:ascii="Times New Roman" w:eastAsia="宋体" w:hAnsi="Times New Roman"/>
          <w:b/>
          <w:sz w:val="22"/>
        </w:rPr>
      </w:pPr>
      <w:r>
        <w:rPr>
          <w:rFonts w:ascii="Times New Roman" w:eastAsia="宋体" w:hAnsi="Times New Roman"/>
          <w:b/>
          <w:sz w:val="22"/>
        </w:rPr>
        <w:t>IV.</w:t>
      </w:r>
      <w:r>
        <w:rPr>
          <w:rFonts w:ascii="Times New Roman" w:eastAsia="宋体" w:hAnsi="Times New Roman"/>
          <w:b/>
          <w:sz w:val="22"/>
        </w:rPr>
        <w:tab/>
        <w:t xml:space="preserve">Delivery </w:t>
      </w:r>
      <w:r>
        <w:rPr>
          <w:rFonts w:ascii="Times New Roman" w:eastAsia="宋体" w:hAnsi="Times New Roman" w:hint="eastAsia"/>
          <w:b/>
          <w:sz w:val="22"/>
        </w:rPr>
        <w:t>Warehouses</w:t>
      </w:r>
      <w:r>
        <w:rPr>
          <w:rFonts w:ascii="Times New Roman" w:eastAsia="宋体" w:hAnsi="Times New Roman"/>
          <w:b/>
          <w:sz w:val="22"/>
        </w:rPr>
        <w:t xml:space="preserve"> and BR Factories</w:t>
      </w:r>
    </w:p>
    <w:p w:rsidR="00E12AEE" w:rsidRDefault="00E12AEE" w:rsidP="00E12AEE">
      <w:pPr>
        <w:adjustRightInd w:val="0"/>
        <w:snapToGrid w:val="0"/>
        <w:spacing w:afterLines="100" w:line="276" w:lineRule="auto"/>
        <w:jc w:val="left"/>
        <w:rPr>
          <w:rFonts w:ascii="Times New Roman" w:eastAsia="宋体" w:hAnsi="Times New Roman"/>
          <w:sz w:val="22"/>
        </w:rPr>
      </w:pPr>
      <w:r>
        <w:rPr>
          <w:rFonts w:ascii="Times New Roman" w:eastAsia="宋体" w:hAnsi="Times New Roman"/>
          <w:sz w:val="22"/>
        </w:rPr>
        <w:t>Delivery Warehouses and Factories</w:t>
      </w:r>
      <w:r>
        <w:rPr>
          <w:rFonts w:ascii="Times New Roman" w:eastAsia="宋体" w:hAnsi="Times New Roman" w:hint="eastAsia"/>
          <w:sz w:val="22"/>
        </w:rPr>
        <w:t xml:space="preserve">, as well as </w:t>
      </w:r>
      <w:r>
        <w:rPr>
          <w:rFonts w:ascii="Times New Roman" w:eastAsia="宋体" w:hAnsi="Times New Roman"/>
          <w:sz w:val="22"/>
        </w:rPr>
        <w:t xml:space="preserve">the standards of premiums and discounts applied to delivery </w:t>
      </w:r>
      <w:r>
        <w:rPr>
          <w:rFonts w:ascii="Times New Roman" w:eastAsia="宋体" w:hAnsi="Times New Roman" w:hint="eastAsia"/>
          <w:sz w:val="22"/>
        </w:rPr>
        <w:t>warehouses</w:t>
      </w:r>
      <w:r>
        <w:rPr>
          <w:rFonts w:ascii="Times New Roman" w:eastAsia="宋体" w:hAnsi="Times New Roman"/>
          <w:sz w:val="22"/>
        </w:rPr>
        <w:t xml:space="preserve"> at different locations will be </w:t>
      </w:r>
      <w:r>
        <w:rPr>
          <w:rFonts w:ascii="Times New Roman" w:eastAsia="宋体" w:hAnsi="Times New Roman" w:hint="eastAsia"/>
          <w:sz w:val="22"/>
        </w:rPr>
        <w:t>specified</w:t>
      </w:r>
      <w:r>
        <w:rPr>
          <w:rFonts w:ascii="Times New Roman" w:eastAsia="宋体" w:hAnsi="Times New Roman"/>
          <w:sz w:val="22"/>
        </w:rPr>
        <w:t xml:space="preserve"> and separately announced by SHFE.</w:t>
      </w:r>
    </w:p>
    <w:p w:rsidR="00E12AEE" w:rsidRPr="00620F13" w:rsidRDefault="00E12AEE" w:rsidP="00E12AEE"/>
    <w:p w:rsidR="00276C0D" w:rsidRPr="00E12AEE" w:rsidRDefault="00276C0D" w:rsidP="00E12AEE">
      <w:pPr>
        <w:widowControl/>
        <w:jc w:val="left"/>
        <w:rPr>
          <w:rFonts w:ascii="Arial" w:eastAsia="宋体" w:hAnsi="Arial" w:cs="Arial"/>
          <w:color w:val="333333"/>
          <w:kern w:val="0"/>
          <w:sz w:val="24"/>
          <w:szCs w:val="24"/>
        </w:rPr>
      </w:pPr>
    </w:p>
    <w:sectPr w:rsidR="00276C0D" w:rsidRPr="00E12AEE" w:rsidSect="00276C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292" w:rsidRDefault="00C10292" w:rsidP="00E12AEE">
      <w:r>
        <w:separator/>
      </w:r>
    </w:p>
  </w:endnote>
  <w:endnote w:type="continuationSeparator" w:id="0">
    <w:p w:rsidR="00C10292" w:rsidRDefault="00C10292" w:rsidP="00E12A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0245"/>
      <w:docPartObj>
        <w:docPartGallery w:val="Page Numbers (Bottom of Page)"/>
        <w:docPartUnique/>
      </w:docPartObj>
    </w:sdtPr>
    <w:sdtContent>
      <w:p w:rsidR="00E12AEE" w:rsidRDefault="00E12AEE">
        <w:pPr>
          <w:pStyle w:val="a4"/>
          <w:jc w:val="center"/>
        </w:pPr>
        <w:fldSimple w:instr=" PAGE   \* MERGEFORMAT ">
          <w:r w:rsidRPr="00E12AEE">
            <w:rPr>
              <w:noProof/>
              <w:lang w:val="zh-CN"/>
            </w:rPr>
            <w:t>1</w:t>
          </w:r>
        </w:fldSimple>
      </w:p>
    </w:sdtContent>
  </w:sdt>
  <w:p w:rsidR="00E12AEE" w:rsidRDefault="00E12A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292" w:rsidRDefault="00C10292" w:rsidP="00E12AEE">
      <w:r>
        <w:separator/>
      </w:r>
    </w:p>
  </w:footnote>
  <w:footnote w:type="continuationSeparator" w:id="0">
    <w:p w:rsidR="00C10292" w:rsidRDefault="00C10292" w:rsidP="00E12A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2AEE"/>
    <w:rsid w:val="00276C0D"/>
    <w:rsid w:val="00C10292"/>
    <w:rsid w:val="00E12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A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2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2AEE"/>
    <w:rPr>
      <w:sz w:val="18"/>
      <w:szCs w:val="18"/>
    </w:rPr>
  </w:style>
  <w:style w:type="paragraph" w:styleId="a4">
    <w:name w:val="footer"/>
    <w:basedOn w:val="a"/>
    <w:link w:val="Char0"/>
    <w:uiPriority w:val="99"/>
    <w:unhideWhenUsed/>
    <w:rsid w:val="00E12AEE"/>
    <w:pPr>
      <w:tabs>
        <w:tab w:val="center" w:pos="4153"/>
        <w:tab w:val="right" w:pos="8306"/>
      </w:tabs>
      <w:snapToGrid w:val="0"/>
      <w:jc w:val="left"/>
    </w:pPr>
    <w:rPr>
      <w:sz w:val="18"/>
      <w:szCs w:val="18"/>
    </w:rPr>
  </w:style>
  <w:style w:type="character" w:customStyle="1" w:styleId="Char0">
    <w:name w:val="页脚 Char"/>
    <w:basedOn w:val="a0"/>
    <w:link w:val="a4"/>
    <w:uiPriority w:val="99"/>
    <w:rsid w:val="00E12A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2166</Characters>
  <Application>Microsoft Office Word</Application>
  <DocSecurity>0</DocSecurity>
  <Lines>18</Lines>
  <Paragraphs>5</Paragraphs>
  <ScaleCrop>false</ScaleCrop>
  <Company>SHFE</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季铄人:返回拟稿人修改</cp:lastModifiedBy>
  <cp:revision>1</cp:revision>
  <dcterms:created xsi:type="dcterms:W3CDTF">2023-07-14T01:22:00Z</dcterms:created>
  <dcterms:modified xsi:type="dcterms:W3CDTF">2023-07-14T01:23:00Z</dcterms:modified>
</cp:coreProperties>
</file>