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D2" w:rsidRDefault="00872AE6">
      <w:pPr>
        <w:rPr>
          <w:rFonts w:ascii="Times New Roman" w:hAnsi="Times New Roman"/>
          <w:b/>
          <w:sz w:val="28"/>
          <w:szCs w:val="28"/>
        </w:rPr>
      </w:pPr>
      <w:bookmarkStart w:id="0" w:name="_GoBack"/>
      <w:r>
        <w:rPr>
          <w:rFonts w:ascii="Times New Roman" w:hAnsi="Times New Roman" w:hint="eastAsia"/>
          <w:b/>
          <w:sz w:val="28"/>
          <w:szCs w:val="28"/>
        </w:rPr>
        <w:t>A</w:t>
      </w:r>
      <w:r>
        <w:rPr>
          <w:rFonts w:ascii="Times New Roman" w:hAnsi="Times New Roman"/>
          <w:b/>
          <w:sz w:val="28"/>
          <w:szCs w:val="28"/>
        </w:rPr>
        <w:t>ppendix 1</w:t>
      </w:r>
    </w:p>
    <w:bookmarkEnd w:id="0"/>
    <w:p w:rsidR="00860CD2" w:rsidRDefault="00860CD2">
      <w:pPr>
        <w:rPr>
          <w:rFonts w:ascii="Times New Roman" w:hAnsi="Times New Roman"/>
          <w:sz w:val="28"/>
          <w:szCs w:val="28"/>
        </w:rPr>
      </w:pPr>
    </w:p>
    <w:p w:rsidR="00860CD2" w:rsidRDefault="00872AE6" w:rsidP="000E5F3B">
      <w:pPr>
        <w:widowControl/>
        <w:snapToGrid w:val="0"/>
        <w:spacing w:afterLines="100" w:line="276" w:lineRule="auto"/>
        <w:jc w:val="center"/>
        <w:rPr>
          <w:rFonts w:ascii="Times New Roman" w:eastAsia="等线" w:hAnsi="Times New Roman"/>
          <w:b/>
          <w:bCs/>
          <w:kern w:val="0"/>
          <w:sz w:val="28"/>
          <w:szCs w:val="28"/>
        </w:rPr>
      </w:pPr>
      <w:r>
        <w:rPr>
          <w:rFonts w:ascii="Times New Roman" w:eastAsia="等线" w:hAnsi="Times New Roman"/>
          <w:b/>
          <w:bCs/>
          <w:kern w:val="0"/>
          <w:sz w:val="28"/>
          <w:szCs w:val="28"/>
        </w:rPr>
        <w:t xml:space="preserve">Revisions to the </w:t>
      </w:r>
      <w:r>
        <w:rPr>
          <w:rFonts w:ascii="Times New Roman" w:eastAsia="等线" w:hAnsi="Times New Roman"/>
          <w:b/>
          <w:bCs/>
          <w:i/>
          <w:iCs/>
          <w:kern w:val="0"/>
          <w:sz w:val="28"/>
          <w:szCs w:val="28"/>
        </w:rPr>
        <w:t>Clearing Rules of Shanghai Futures Exchange</w:t>
      </w:r>
    </w:p>
    <w:p w:rsidR="00860CD2" w:rsidRDefault="00872AE6" w:rsidP="000E5F3B">
      <w:pPr>
        <w:widowControl/>
        <w:snapToGrid w:val="0"/>
        <w:spacing w:afterLines="100" w:line="276" w:lineRule="auto"/>
        <w:jc w:val="left"/>
        <w:rPr>
          <w:rFonts w:ascii="Times New Roman" w:eastAsia="等线" w:hAnsi="Times New Roman"/>
          <w:kern w:val="0"/>
          <w:sz w:val="22"/>
          <w:szCs w:val="24"/>
        </w:rPr>
      </w:pPr>
      <w:r>
        <w:rPr>
          <w:rFonts w:ascii="Times New Roman" w:eastAsia="等线" w:hAnsi="Times New Roman"/>
          <w:kern w:val="0"/>
          <w:sz w:val="22"/>
          <w:szCs w:val="24"/>
        </w:rPr>
        <w:t>Note: Sections in double strikethroughs are deleted and those in red and bold are newly added.</w:t>
      </w:r>
    </w:p>
    <w:tbl>
      <w:tblPr>
        <w:tblW w:w="0" w:type="auto"/>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4261"/>
        <w:gridCol w:w="4261"/>
      </w:tblGrid>
      <w:tr w:rsidR="00860CD2">
        <w:tc>
          <w:tcPr>
            <w:tcW w:w="6974" w:type="dxa"/>
            <w:shd w:val="clear" w:color="auto" w:fill="4BACC6"/>
          </w:tcPr>
          <w:p w:rsidR="00860CD2" w:rsidRDefault="00872AE6">
            <w:pPr>
              <w:snapToGrid w:val="0"/>
              <w:spacing w:before="60" w:after="60"/>
              <w:jc w:val="center"/>
              <w:rPr>
                <w:rFonts w:ascii="Times New Roman" w:eastAsia="等线" w:hAnsi="Times New Roman"/>
                <w:b/>
                <w:bCs/>
                <w:color w:val="C7EDCC"/>
                <w:sz w:val="22"/>
                <w:szCs w:val="24"/>
              </w:rPr>
            </w:pPr>
            <w:r>
              <w:rPr>
                <w:rFonts w:ascii="Times New Roman" w:eastAsia="等线" w:hAnsi="Times New Roman"/>
                <w:b/>
                <w:bCs/>
                <w:color w:val="C7EDCC"/>
                <w:sz w:val="22"/>
                <w:szCs w:val="24"/>
              </w:rPr>
              <w:t>Revised Version</w:t>
            </w:r>
          </w:p>
        </w:tc>
        <w:tc>
          <w:tcPr>
            <w:tcW w:w="6974" w:type="dxa"/>
            <w:shd w:val="clear" w:color="auto" w:fill="4BACC6"/>
          </w:tcPr>
          <w:p w:rsidR="00860CD2" w:rsidRDefault="00872AE6">
            <w:pPr>
              <w:snapToGrid w:val="0"/>
              <w:spacing w:before="60" w:after="60"/>
              <w:jc w:val="center"/>
              <w:rPr>
                <w:rFonts w:ascii="Times New Roman" w:eastAsia="等线" w:hAnsi="Times New Roman"/>
                <w:b/>
                <w:bCs/>
                <w:color w:val="C7EDCC"/>
                <w:sz w:val="22"/>
                <w:szCs w:val="24"/>
              </w:rPr>
            </w:pPr>
            <w:r>
              <w:rPr>
                <w:rFonts w:ascii="Times New Roman" w:eastAsia="等线" w:hAnsi="Times New Roman"/>
                <w:b/>
                <w:bCs/>
                <w:color w:val="C7EDCC"/>
                <w:sz w:val="22"/>
                <w:szCs w:val="24"/>
              </w:rPr>
              <w:t>September 25, 2023 Version</w:t>
            </w:r>
          </w:p>
        </w:tc>
      </w:tr>
      <w:tr w:rsidR="00860CD2">
        <w:tc>
          <w:tcPr>
            <w:tcW w:w="6974" w:type="dxa"/>
            <w:shd w:val="clear" w:color="auto" w:fill="auto"/>
          </w:tcPr>
          <w:p w:rsidR="00860CD2" w:rsidRDefault="00872AE6">
            <w:pPr>
              <w:snapToGrid w:val="0"/>
              <w:spacing w:before="60" w:after="60"/>
              <w:jc w:val="center"/>
              <w:rPr>
                <w:rFonts w:ascii="Times New Roman" w:eastAsia="等线" w:hAnsi="Times New Roman"/>
                <w:sz w:val="22"/>
                <w:szCs w:val="24"/>
              </w:rPr>
            </w:pPr>
            <w:r>
              <w:rPr>
                <w:rFonts w:ascii="Times New Roman" w:eastAsia="等线" w:hAnsi="Times New Roman"/>
                <w:sz w:val="22"/>
                <w:szCs w:val="24"/>
              </w:rPr>
              <w:t xml:space="preserve">CHAPTER 4 </w:t>
            </w:r>
            <w:r>
              <w:rPr>
                <w:rFonts w:ascii="Times New Roman" w:eastAsia="等线" w:hAnsi="Times New Roman"/>
                <w:sz w:val="22"/>
                <w:szCs w:val="24"/>
              </w:rPr>
              <w:tab/>
              <w:t>DAILY CLEARING</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b/>
                <w:sz w:val="22"/>
                <w:szCs w:val="24"/>
              </w:rPr>
              <w:t>Article 37</w:t>
            </w:r>
            <w:r>
              <w:rPr>
                <w:rFonts w:ascii="Times New Roman" w:eastAsia="等线" w:hAnsi="Times New Roman"/>
                <w:sz w:val="22"/>
                <w:szCs w:val="24"/>
              </w:rPr>
              <w:tab/>
            </w:r>
            <w:r>
              <w:rPr>
                <w:rFonts w:ascii="Times New Roman" w:eastAsia="等线" w:hAnsi="Times New Roman"/>
                <w:sz w:val="22"/>
                <w:szCs w:val="24"/>
              </w:rPr>
              <w:t xml:space="preserve">The Exchange will charge Member transaction fees at the applicable rate based on the volume of contracts it executes on that day. The Exchange may adjust the transaction fee rates for some or all contracts based on market conditions. </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sz w:val="22"/>
                <w:szCs w:val="24"/>
              </w:rPr>
              <w:t>The Exchange may char</w:t>
            </w:r>
            <w:r>
              <w:rPr>
                <w:rFonts w:ascii="Times New Roman" w:eastAsia="等线" w:hAnsi="Times New Roman"/>
                <w:sz w:val="22"/>
                <w:szCs w:val="24"/>
              </w:rPr>
              <w:t>ge a Member order placement and other fees at applicable fee rates on such basis as the number of orders placed or canceled.</w:t>
            </w:r>
          </w:p>
          <w:p w:rsidR="00860CD2" w:rsidRDefault="00872AE6">
            <w:pPr>
              <w:snapToGrid w:val="0"/>
              <w:spacing w:before="60" w:after="60"/>
              <w:rPr>
                <w:rFonts w:ascii="Times New Roman" w:eastAsia="等线" w:hAnsi="Times New Roman"/>
                <w:color w:val="000000"/>
                <w:sz w:val="22"/>
                <w:szCs w:val="24"/>
              </w:rPr>
            </w:pPr>
            <w:r>
              <w:rPr>
                <w:rFonts w:ascii="Times New Roman" w:eastAsia="等线" w:hAnsi="Times New Roman"/>
                <w:color w:val="000000"/>
                <w:sz w:val="22"/>
                <w:szCs w:val="24"/>
              </w:rPr>
              <w:t>Specific fee rates will be separately announced by the Exchange.</w:t>
            </w:r>
          </w:p>
          <w:p w:rsidR="00860CD2" w:rsidRDefault="00872AE6">
            <w:pPr>
              <w:snapToGrid w:val="0"/>
              <w:spacing w:before="60" w:after="60"/>
              <w:rPr>
                <w:rFonts w:ascii="Times New Roman" w:eastAsia="等线" w:hAnsi="Times New Roman"/>
                <w:b/>
                <w:color w:val="FF0000"/>
                <w:sz w:val="22"/>
                <w:szCs w:val="24"/>
              </w:rPr>
            </w:pPr>
            <w:r>
              <w:rPr>
                <w:rFonts w:ascii="Times New Roman" w:eastAsia="等线" w:hAnsi="Times New Roman"/>
                <w:b/>
                <w:color w:val="FF0000"/>
                <w:sz w:val="22"/>
                <w:szCs w:val="24"/>
              </w:rPr>
              <w:t>The Exchange may reduce the transaction fees payable by the Member</w:t>
            </w:r>
            <w:r>
              <w:rPr>
                <w:rFonts w:ascii="Times New Roman" w:eastAsia="等线" w:hAnsi="Times New Roman"/>
                <w:b/>
                <w:color w:val="FF0000"/>
                <w:sz w:val="22"/>
                <w:szCs w:val="24"/>
              </w:rPr>
              <w:t>s, the schemes of which shall be separately formulated and adjusted by the Exchange based on the market situation.</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b/>
                <w:color w:val="FF0000"/>
                <w:sz w:val="22"/>
                <w:szCs w:val="24"/>
              </w:rPr>
              <w:t>Members shall regulate the use of transaction fees reduced by the Exchange in accordance with laws, regulations, rules, and relevant provisio</w:t>
            </w:r>
            <w:r>
              <w:rPr>
                <w:rFonts w:ascii="Times New Roman" w:eastAsia="等线" w:hAnsi="Times New Roman"/>
                <w:b/>
                <w:color w:val="FF0000"/>
                <w:sz w:val="22"/>
                <w:szCs w:val="24"/>
              </w:rPr>
              <w:t>ns of the Exchange.</w:t>
            </w:r>
          </w:p>
        </w:tc>
        <w:tc>
          <w:tcPr>
            <w:tcW w:w="6974" w:type="dxa"/>
            <w:shd w:val="clear" w:color="auto" w:fill="auto"/>
          </w:tcPr>
          <w:p w:rsidR="00860CD2" w:rsidRDefault="00872AE6">
            <w:pPr>
              <w:tabs>
                <w:tab w:val="left" w:pos="1276"/>
              </w:tabs>
              <w:adjustRightInd w:val="0"/>
              <w:snapToGrid w:val="0"/>
              <w:spacing w:before="60" w:after="60"/>
              <w:jc w:val="center"/>
              <w:rPr>
                <w:rFonts w:ascii="Times New Roman" w:eastAsia="等线" w:hAnsi="Times New Roman"/>
                <w:sz w:val="22"/>
                <w:szCs w:val="24"/>
              </w:rPr>
            </w:pPr>
            <w:r>
              <w:rPr>
                <w:rFonts w:ascii="Times New Roman" w:eastAsia="等线" w:hAnsi="Times New Roman"/>
                <w:sz w:val="22"/>
                <w:szCs w:val="24"/>
              </w:rPr>
              <w:t xml:space="preserve">CHAPTER 4 </w:t>
            </w:r>
            <w:r>
              <w:rPr>
                <w:rFonts w:ascii="Times New Roman" w:eastAsia="等线" w:hAnsi="Times New Roman"/>
                <w:sz w:val="22"/>
                <w:szCs w:val="24"/>
              </w:rPr>
              <w:tab/>
              <w:t>DAILY CLEARING</w:t>
            </w:r>
          </w:p>
          <w:p w:rsidR="00860CD2" w:rsidRDefault="00872AE6">
            <w:pPr>
              <w:tabs>
                <w:tab w:val="left" w:pos="1276"/>
              </w:tabs>
              <w:adjustRightInd w:val="0"/>
              <w:snapToGrid w:val="0"/>
              <w:spacing w:before="60" w:after="60"/>
              <w:rPr>
                <w:rFonts w:ascii="Times New Roman" w:eastAsia="等线" w:hAnsi="Times New Roman"/>
                <w:sz w:val="22"/>
                <w:szCs w:val="24"/>
              </w:rPr>
            </w:pPr>
            <w:r>
              <w:rPr>
                <w:rFonts w:ascii="Times New Roman" w:eastAsia="等线" w:hAnsi="Times New Roman"/>
                <w:b/>
                <w:sz w:val="22"/>
                <w:szCs w:val="24"/>
              </w:rPr>
              <w:t>Article 37</w:t>
            </w:r>
            <w:r>
              <w:rPr>
                <w:rFonts w:ascii="Times New Roman" w:eastAsia="等线" w:hAnsi="Times New Roman"/>
                <w:sz w:val="22"/>
                <w:szCs w:val="24"/>
              </w:rPr>
              <w:tab/>
            </w:r>
            <w:r>
              <w:rPr>
                <w:rFonts w:ascii="Times New Roman" w:eastAsia="等线" w:hAnsi="Times New Roman"/>
                <w:sz w:val="22"/>
                <w:szCs w:val="24"/>
              </w:rPr>
              <w:t xml:space="preserve">The Exchange will charge Member transaction fees at the applicable rate based on the volume of contracts it executes on that day. The Exchange may adjust the transaction fee rates for some or all contracts based on market conditions. </w:t>
            </w:r>
          </w:p>
          <w:p w:rsidR="00860CD2" w:rsidRDefault="00872AE6">
            <w:pPr>
              <w:tabs>
                <w:tab w:val="left" w:pos="1276"/>
              </w:tabs>
              <w:adjustRightInd w:val="0"/>
              <w:snapToGrid w:val="0"/>
              <w:spacing w:before="60" w:after="60"/>
              <w:rPr>
                <w:rFonts w:ascii="Times New Roman" w:eastAsia="等线" w:hAnsi="Times New Roman"/>
                <w:sz w:val="22"/>
                <w:szCs w:val="24"/>
              </w:rPr>
            </w:pPr>
            <w:r>
              <w:rPr>
                <w:rFonts w:ascii="Times New Roman" w:eastAsia="等线" w:hAnsi="Times New Roman"/>
                <w:sz w:val="22"/>
                <w:szCs w:val="24"/>
              </w:rPr>
              <w:t>The Exchange may char</w:t>
            </w:r>
            <w:r>
              <w:rPr>
                <w:rFonts w:ascii="Times New Roman" w:eastAsia="等线" w:hAnsi="Times New Roman"/>
                <w:sz w:val="22"/>
                <w:szCs w:val="24"/>
              </w:rPr>
              <w:t>ge a Member order placement and other fees at applicable fee rates on such basis as the number of orders placed or canceled.</w:t>
            </w:r>
          </w:p>
          <w:p w:rsidR="00860CD2" w:rsidRDefault="00872AE6">
            <w:pPr>
              <w:tabs>
                <w:tab w:val="left" w:pos="1276"/>
              </w:tabs>
              <w:adjustRightInd w:val="0"/>
              <w:snapToGrid w:val="0"/>
              <w:spacing w:before="60" w:after="60"/>
              <w:rPr>
                <w:rFonts w:ascii="Times New Roman" w:eastAsia="等线" w:hAnsi="Times New Roman"/>
                <w:sz w:val="22"/>
                <w:szCs w:val="24"/>
              </w:rPr>
            </w:pPr>
            <w:r>
              <w:rPr>
                <w:rFonts w:ascii="Times New Roman" w:eastAsia="等线" w:hAnsi="Times New Roman"/>
                <w:sz w:val="22"/>
                <w:szCs w:val="24"/>
              </w:rPr>
              <w:t>Specific fee rates will be separately announced by the Exchange.</w:t>
            </w:r>
          </w:p>
        </w:tc>
      </w:tr>
      <w:tr w:rsidR="00860CD2">
        <w:tc>
          <w:tcPr>
            <w:tcW w:w="6974" w:type="dxa"/>
            <w:shd w:val="clear" w:color="auto" w:fill="auto"/>
          </w:tcPr>
          <w:p w:rsidR="00860CD2" w:rsidRDefault="00872AE6">
            <w:pPr>
              <w:snapToGrid w:val="0"/>
              <w:spacing w:before="60" w:after="60"/>
              <w:jc w:val="center"/>
              <w:rPr>
                <w:rFonts w:ascii="Times New Roman" w:eastAsia="等线" w:hAnsi="Times New Roman"/>
                <w:sz w:val="22"/>
                <w:szCs w:val="24"/>
              </w:rPr>
            </w:pPr>
            <w:r>
              <w:rPr>
                <w:rFonts w:ascii="Times New Roman" w:eastAsia="等线" w:hAnsi="Times New Roman"/>
                <w:sz w:val="22"/>
                <w:szCs w:val="24"/>
              </w:rPr>
              <w:t>CHAPTER 8</w:t>
            </w:r>
            <w:r>
              <w:rPr>
                <w:rFonts w:ascii="Times New Roman" w:eastAsia="等线" w:hAnsi="Times New Roman"/>
                <w:sz w:val="22"/>
                <w:szCs w:val="24"/>
              </w:rPr>
              <w:tab/>
              <w:t>MISCELLANEOUS</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sz w:val="22"/>
                <w:szCs w:val="24"/>
              </w:rPr>
              <w:t>…</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b/>
                <w:bCs/>
                <w:sz w:val="22"/>
                <w:szCs w:val="24"/>
              </w:rPr>
              <w:t>Article 94</w:t>
            </w:r>
            <w:r>
              <w:rPr>
                <w:rFonts w:ascii="Times New Roman" w:eastAsia="等线" w:hAnsi="Times New Roman"/>
                <w:b/>
                <w:bCs/>
                <w:sz w:val="22"/>
                <w:szCs w:val="24"/>
              </w:rPr>
              <w:tab/>
            </w:r>
            <w:r>
              <w:rPr>
                <w:rFonts w:ascii="Times New Roman" w:eastAsia="等线" w:hAnsi="Times New Roman"/>
                <w:sz w:val="22"/>
                <w:szCs w:val="24"/>
              </w:rPr>
              <w:t xml:space="preserve">These </w:t>
            </w:r>
            <w:r>
              <w:rPr>
                <w:rFonts w:ascii="Times New Roman" w:eastAsia="等线" w:hAnsi="Times New Roman"/>
                <w:i/>
                <w:iCs/>
                <w:sz w:val="22"/>
                <w:szCs w:val="24"/>
              </w:rPr>
              <w:t>Clearing Rules</w:t>
            </w:r>
            <w:r>
              <w:rPr>
                <w:rFonts w:ascii="Times New Roman" w:eastAsia="等线" w:hAnsi="Times New Roman"/>
                <w:sz w:val="22"/>
                <w:szCs w:val="24"/>
              </w:rPr>
              <w:t xml:space="preserve"> shall t</w:t>
            </w:r>
            <w:r>
              <w:rPr>
                <w:rFonts w:ascii="Times New Roman" w:eastAsia="等线" w:hAnsi="Times New Roman"/>
                <w:sz w:val="22"/>
                <w:szCs w:val="24"/>
              </w:rPr>
              <w:t xml:space="preserve">ake effect on </w:t>
            </w:r>
            <w:r>
              <w:rPr>
                <w:rFonts w:ascii="Times New Roman" w:eastAsia="等线" w:hAnsi="Times New Roman"/>
                <w:dstrike/>
                <w:sz w:val="22"/>
                <w:szCs w:val="24"/>
              </w:rPr>
              <w:t xml:space="preserve">September 25 </w:t>
            </w:r>
            <w:r>
              <w:rPr>
                <w:rFonts w:ascii="Times New Roman" w:eastAsia="等线" w:hAnsi="Times New Roman" w:hint="eastAsia"/>
                <w:color w:val="FF0000"/>
                <w:sz w:val="22"/>
                <w:szCs w:val="24"/>
              </w:rPr>
              <w:t>June</w:t>
            </w:r>
            <w:r>
              <w:rPr>
                <w:rFonts w:ascii="Times New Roman" w:eastAsia="等线" w:hAnsi="Times New Roman"/>
                <w:color w:val="FF0000"/>
                <w:sz w:val="22"/>
                <w:szCs w:val="24"/>
              </w:rPr>
              <w:t xml:space="preserve"> </w:t>
            </w:r>
            <w:r>
              <w:rPr>
                <w:rFonts w:ascii="Times New Roman" w:eastAsia="等线" w:hAnsi="Times New Roman"/>
                <w:b/>
                <w:color w:val="FF0000"/>
                <w:sz w:val="22"/>
                <w:szCs w:val="24"/>
              </w:rPr>
              <w:t>14</w:t>
            </w:r>
            <w:r>
              <w:rPr>
                <w:rFonts w:ascii="Times New Roman" w:eastAsia="等线" w:hAnsi="Times New Roman"/>
                <w:sz w:val="22"/>
                <w:szCs w:val="24"/>
              </w:rPr>
              <w:t>, 202</w:t>
            </w:r>
            <w:r>
              <w:rPr>
                <w:rFonts w:ascii="Times New Roman" w:eastAsia="等线" w:hAnsi="Times New Roman"/>
                <w:dstrike/>
                <w:sz w:val="22"/>
                <w:szCs w:val="24"/>
              </w:rPr>
              <w:t>3</w:t>
            </w:r>
            <w:r>
              <w:rPr>
                <w:rFonts w:ascii="Times New Roman" w:eastAsia="等线" w:hAnsi="Times New Roman"/>
                <w:b/>
                <w:color w:val="FF0000"/>
                <w:sz w:val="22"/>
                <w:szCs w:val="24"/>
              </w:rPr>
              <w:t>4</w:t>
            </w:r>
            <w:r>
              <w:rPr>
                <w:rFonts w:ascii="Times New Roman" w:eastAsia="等线" w:hAnsi="Times New Roman"/>
                <w:sz w:val="22"/>
                <w:szCs w:val="24"/>
              </w:rPr>
              <w:t>.</w:t>
            </w:r>
          </w:p>
        </w:tc>
        <w:tc>
          <w:tcPr>
            <w:tcW w:w="6974" w:type="dxa"/>
            <w:shd w:val="clear" w:color="auto" w:fill="auto"/>
          </w:tcPr>
          <w:p w:rsidR="00860CD2" w:rsidRDefault="00872AE6">
            <w:pPr>
              <w:snapToGrid w:val="0"/>
              <w:spacing w:before="60" w:after="60"/>
              <w:jc w:val="center"/>
              <w:rPr>
                <w:rFonts w:ascii="Times New Roman" w:eastAsia="等线" w:hAnsi="Times New Roman"/>
                <w:sz w:val="22"/>
                <w:szCs w:val="24"/>
              </w:rPr>
            </w:pPr>
            <w:r>
              <w:rPr>
                <w:rFonts w:ascii="Times New Roman" w:eastAsia="等线" w:hAnsi="Times New Roman"/>
                <w:sz w:val="22"/>
                <w:szCs w:val="24"/>
              </w:rPr>
              <w:t>CHAPTER 8</w:t>
            </w:r>
            <w:r>
              <w:rPr>
                <w:rFonts w:ascii="Times New Roman" w:eastAsia="等线" w:hAnsi="Times New Roman"/>
                <w:sz w:val="22"/>
                <w:szCs w:val="24"/>
              </w:rPr>
              <w:tab/>
              <w:t>MISCELLANEOUS</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sz w:val="22"/>
                <w:szCs w:val="24"/>
              </w:rPr>
              <w:t>…</w:t>
            </w:r>
          </w:p>
          <w:p w:rsidR="00860CD2" w:rsidRDefault="00872AE6">
            <w:pPr>
              <w:snapToGrid w:val="0"/>
              <w:spacing w:before="60" w:after="60"/>
              <w:rPr>
                <w:rFonts w:ascii="Times New Roman" w:eastAsia="等线" w:hAnsi="Times New Roman"/>
                <w:sz w:val="22"/>
                <w:szCs w:val="24"/>
              </w:rPr>
            </w:pPr>
            <w:r>
              <w:rPr>
                <w:rFonts w:ascii="Times New Roman" w:eastAsia="等线" w:hAnsi="Times New Roman"/>
                <w:b/>
                <w:bCs/>
                <w:sz w:val="22"/>
                <w:szCs w:val="24"/>
              </w:rPr>
              <w:t>Article 94</w:t>
            </w:r>
            <w:r>
              <w:rPr>
                <w:rFonts w:ascii="Times New Roman" w:eastAsia="等线" w:hAnsi="Times New Roman"/>
                <w:b/>
                <w:bCs/>
                <w:sz w:val="22"/>
                <w:szCs w:val="24"/>
              </w:rPr>
              <w:tab/>
            </w:r>
            <w:r>
              <w:rPr>
                <w:rFonts w:ascii="Times New Roman" w:eastAsia="等线" w:hAnsi="Times New Roman"/>
                <w:sz w:val="22"/>
                <w:szCs w:val="24"/>
              </w:rPr>
              <w:t xml:space="preserve">These </w:t>
            </w:r>
            <w:r>
              <w:rPr>
                <w:rFonts w:ascii="Times New Roman" w:eastAsia="等线" w:hAnsi="Times New Roman"/>
                <w:i/>
                <w:iCs/>
                <w:sz w:val="22"/>
                <w:szCs w:val="24"/>
              </w:rPr>
              <w:t>Clearing Rules</w:t>
            </w:r>
            <w:r>
              <w:rPr>
                <w:rFonts w:ascii="Times New Roman" w:eastAsia="等线" w:hAnsi="Times New Roman"/>
                <w:sz w:val="22"/>
                <w:szCs w:val="24"/>
              </w:rPr>
              <w:t xml:space="preserve"> shall take effect on September 25, 2023.</w:t>
            </w:r>
          </w:p>
        </w:tc>
      </w:tr>
    </w:tbl>
    <w:p w:rsidR="00860CD2" w:rsidRDefault="00860CD2"/>
    <w:sectPr w:rsidR="00860CD2" w:rsidSect="00860CD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E6" w:rsidRDefault="00872AE6" w:rsidP="00860CD2">
      <w:r>
        <w:separator/>
      </w:r>
    </w:p>
  </w:endnote>
  <w:endnote w:type="continuationSeparator" w:id="0">
    <w:p w:rsidR="00872AE6" w:rsidRDefault="00872AE6" w:rsidP="00860CD2">
      <w:r>
        <w:continuationSeparator/>
      </w:r>
    </w:p>
  </w:endnote>
</w:endnotes>
</file>

<file path=word/fontTable.xml><?xml version="1.0" encoding="utf-8"?>
<w:fonts xmlns:r="http://schemas.openxmlformats.org/officeDocument/2006/relationships" xmlns:w="http://schemas.openxmlformats.org/wordprocessingml/2006/main">
  <w:font w:name="等线">
    <w:altName w:val="方正仿宋简体"/>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D2" w:rsidRDefault="00860CD2">
    <w:pPr>
      <w:pStyle w:val="a3"/>
      <w:jc w:val="center"/>
    </w:pPr>
    <w:r>
      <w:rPr>
        <w:lang w:val="zh-CN"/>
      </w:rPr>
      <w:fldChar w:fldCharType="begin"/>
    </w:r>
    <w:r w:rsidR="00872AE6">
      <w:rPr>
        <w:lang w:val="zh-CN"/>
      </w:rPr>
      <w:instrText xml:space="preserve"> PAGE   \* MERGEFORMAT </w:instrText>
    </w:r>
    <w:r>
      <w:rPr>
        <w:lang w:val="zh-CN"/>
      </w:rPr>
      <w:fldChar w:fldCharType="separate"/>
    </w:r>
    <w:r w:rsidR="000E5F3B">
      <w:rPr>
        <w:noProof/>
        <w:lang w:val="zh-CN"/>
      </w:rPr>
      <w:t>1</w:t>
    </w:r>
    <w:r>
      <w:rPr>
        <w:lang w:val="zh-CN"/>
      </w:rPr>
      <w:fldChar w:fldCharType="end"/>
    </w:r>
  </w:p>
  <w:p w:rsidR="00860CD2" w:rsidRDefault="00860C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E6" w:rsidRDefault="00872AE6" w:rsidP="00860CD2">
      <w:r>
        <w:separator/>
      </w:r>
    </w:p>
  </w:footnote>
  <w:footnote w:type="continuationSeparator" w:id="0">
    <w:p w:rsidR="00872AE6" w:rsidRDefault="00872AE6" w:rsidP="00860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D2" w:rsidRDefault="00872AE6">
    <w:pPr>
      <w:pStyle w:val="a4"/>
      <w:ind w:right="360"/>
      <w:jc w:val="right"/>
    </w:pPr>
    <w:r>
      <w:rPr>
        <w:rFonts w:ascii="Times New Roman" w:hAnsi="Times New Roman"/>
      </w:rPr>
      <w:t>For Reference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1E9"/>
    <w:rsid w:val="FBEB9484"/>
    <w:rsid w:val="000E5F3B"/>
    <w:rsid w:val="001D04D1"/>
    <w:rsid w:val="004031E9"/>
    <w:rsid w:val="004533A3"/>
    <w:rsid w:val="004F7CCF"/>
    <w:rsid w:val="005438D7"/>
    <w:rsid w:val="00590699"/>
    <w:rsid w:val="00860CD2"/>
    <w:rsid w:val="00872AE6"/>
    <w:rsid w:val="008F6196"/>
    <w:rsid w:val="00980A01"/>
    <w:rsid w:val="00A13E28"/>
    <w:rsid w:val="00A70BEA"/>
    <w:rsid w:val="00A94048"/>
    <w:rsid w:val="00B0617C"/>
    <w:rsid w:val="00B871EB"/>
    <w:rsid w:val="00D304B9"/>
    <w:rsid w:val="00E70574"/>
    <w:rsid w:val="00E87C91"/>
    <w:rsid w:val="00EE76E1"/>
    <w:rsid w:val="00F37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60CD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60CD2"/>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860CD2"/>
    <w:rPr>
      <w:sz w:val="18"/>
      <w:szCs w:val="18"/>
    </w:rPr>
  </w:style>
  <w:style w:type="character" w:customStyle="1" w:styleId="Char0">
    <w:name w:val="页眉 Char"/>
    <w:basedOn w:val="a0"/>
    <w:link w:val="a4"/>
    <w:uiPriority w:val="99"/>
    <w:qFormat/>
    <w:rsid w:val="00860C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SHFE</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孙欣鹏</dc:creator>
  <cp:lastModifiedBy>郑子函</cp:lastModifiedBy>
  <cp:revision>2</cp:revision>
  <dcterms:created xsi:type="dcterms:W3CDTF">2024-06-14T08:39:00Z</dcterms:created>
  <dcterms:modified xsi:type="dcterms:W3CDTF">2024-06-14T08:39:00Z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