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DCB" w:rsidRDefault="00DD24FC" w:rsidP="00B24503">
      <w:pPr>
        <w:widowControl/>
        <w:snapToGrid w:val="0"/>
        <w:spacing w:afterLines="100" w:line="276" w:lineRule="auto"/>
        <w:jc w:val="left"/>
        <w:rPr>
          <w:rFonts w:ascii="Times New Roman" w:eastAsia="宋体" w:hAnsi="Times New Roman" w:cs="Times New Roman"/>
          <w:b/>
          <w:kern w:val="0"/>
          <w:sz w:val="28"/>
          <w:szCs w:val="28"/>
        </w:rPr>
      </w:pPr>
      <w:r>
        <w:rPr>
          <w:rFonts w:ascii="Times New Roman" w:eastAsia="宋体" w:hAnsi="Times New Roman" w:cs="Times New Roman"/>
          <w:b/>
          <w:kern w:val="0"/>
          <w:sz w:val="28"/>
          <w:szCs w:val="28"/>
        </w:rPr>
        <w:t>Appendix 1</w:t>
      </w:r>
    </w:p>
    <w:p w:rsidR="00166DCB" w:rsidRDefault="00DD24FC" w:rsidP="00B24503">
      <w:pPr>
        <w:snapToGrid w:val="0"/>
        <w:spacing w:afterLines="100"/>
        <w:jc w:val="center"/>
        <w:rPr>
          <w:rFonts w:ascii="Times New Roman" w:eastAsia="宋体" w:hAnsi="Times New Roman" w:cs="Times New Roman"/>
          <w:b/>
          <w:bCs/>
          <w:sz w:val="28"/>
          <w:szCs w:val="28"/>
        </w:rPr>
      </w:pPr>
      <w:r>
        <w:rPr>
          <w:rFonts w:ascii="Times New Roman" w:eastAsia="宋体" w:hAnsi="Times New Roman" w:cs="Times New Roman"/>
          <w:b/>
          <w:bCs/>
          <w:sz w:val="28"/>
          <w:szCs w:val="28"/>
        </w:rPr>
        <w:t xml:space="preserve">Revisions to the </w:t>
      </w:r>
      <w:r>
        <w:rPr>
          <w:rFonts w:ascii="Times New Roman" w:eastAsia="宋体" w:hAnsi="Times New Roman" w:cs="Times New Roman"/>
          <w:b/>
          <w:bCs/>
          <w:i/>
          <w:iCs/>
          <w:sz w:val="28"/>
          <w:szCs w:val="28"/>
        </w:rPr>
        <w:t>Clearing Rules of the Shanghai International Energy Exchange</w:t>
      </w:r>
    </w:p>
    <w:p w:rsidR="00166DCB" w:rsidRDefault="00DD24FC" w:rsidP="00B24503">
      <w:pPr>
        <w:snapToGrid w:val="0"/>
        <w:spacing w:afterLines="100"/>
        <w:rPr>
          <w:rFonts w:ascii="Times New Roman" w:eastAsia="宋体" w:hAnsi="Times New Roman" w:cs="Times New Roman"/>
          <w:sz w:val="22"/>
        </w:rPr>
      </w:pPr>
      <w:r>
        <w:rPr>
          <w:rFonts w:ascii="Times New Roman" w:eastAsia="宋体" w:hAnsi="Times New Roman" w:cs="Times New Roman"/>
          <w:sz w:val="22"/>
        </w:rPr>
        <w:t>Note: Sections in double strikethroughs are deleted and those in red and bold are newly added.</w:t>
      </w:r>
    </w:p>
    <w:tbl>
      <w:tblPr>
        <w:tblW w:w="0" w:type="auto"/>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ook w:val="04A0"/>
      </w:tblPr>
      <w:tblGrid>
        <w:gridCol w:w="4261"/>
        <w:gridCol w:w="4261"/>
      </w:tblGrid>
      <w:tr w:rsidR="00166DCB">
        <w:tc>
          <w:tcPr>
            <w:tcW w:w="6974" w:type="dxa"/>
            <w:shd w:val="clear" w:color="auto" w:fill="4BACC6"/>
          </w:tcPr>
          <w:p w:rsidR="00166DCB" w:rsidRDefault="00DD24FC">
            <w:pPr>
              <w:snapToGrid w:val="0"/>
              <w:spacing w:before="60" w:after="60"/>
              <w:jc w:val="center"/>
              <w:rPr>
                <w:rFonts w:ascii="Times New Roman" w:eastAsia="等线" w:hAnsi="Times New Roman" w:cs="Times New Roman"/>
                <w:b/>
                <w:bCs/>
                <w:color w:val="C7EDCC"/>
                <w:sz w:val="22"/>
              </w:rPr>
            </w:pPr>
            <w:r>
              <w:rPr>
                <w:rFonts w:ascii="Times New Roman" w:eastAsia="等线" w:hAnsi="Times New Roman" w:cs="Times New Roman"/>
                <w:b/>
                <w:bCs/>
                <w:color w:val="C7EDCC"/>
                <w:sz w:val="22"/>
              </w:rPr>
              <w:t>Revised Version</w:t>
            </w:r>
          </w:p>
        </w:tc>
        <w:tc>
          <w:tcPr>
            <w:tcW w:w="6974" w:type="dxa"/>
            <w:shd w:val="clear" w:color="auto" w:fill="4BACC6"/>
          </w:tcPr>
          <w:p w:rsidR="00166DCB" w:rsidRDefault="00DD24FC">
            <w:pPr>
              <w:snapToGrid w:val="0"/>
              <w:spacing w:before="60" w:after="60"/>
              <w:jc w:val="center"/>
              <w:rPr>
                <w:rFonts w:ascii="Times New Roman" w:eastAsia="等线" w:hAnsi="Times New Roman" w:cs="Times New Roman"/>
                <w:b/>
                <w:bCs/>
                <w:color w:val="C7EDCC"/>
                <w:sz w:val="22"/>
              </w:rPr>
            </w:pPr>
            <w:r>
              <w:rPr>
                <w:rFonts w:ascii="Times New Roman" w:eastAsia="等线" w:hAnsi="Times New Roman" w:cs="Times New Roman"/>
                <w:b/>
                <w:bCs/>
                <w:color w:val="C7EDCC"/>
                <w:sz w:val="22"/>
              </w:rPr>
              <w:t>September 25, 2023 Version</w:t>
            </w:r>
          </w:p>
        </w:tc>
      </w:tr>
      <w:tr w:rsidR="00166DCB">
        <w:tc>
          <w:tcPr>
            <w:tcW w:w="6974" w:type="dxa"/>
          </w:tcPr>
          <w:p w:rsidR="00166DCB" w:rsidRDefault="00DD24FC">
            <w:pPr>
              <w:snapToGrid w:val="0"/>
              <w:spacing w:before="60" w:after="60"/>
              <w:jc w:val="center"/>
              <w:rPr>
                <w:rFonts w:ascii="Times New Roman" w:eastAsia="等线" w:hAnsi="Times New Roman" w:cs="Times New Roman"/>
                <w:sz w:val="22"/>
              </w:rPr>
            </w:pPr>
            <w:r>
              <w:rPr>
                <w:rFonts w:ascii="Times New Roman" w:eastAsia="等线" w:hAnsi="Times New Roman" w:cs="Times New Roman"/>
                <w:sz w:val="22"/>
              </w:rPr>
              <w:t xml:space="preserve">CHAPTER 3  REGULAR </w:t>
            </w:r>
            <w:r>
              <w:rPr>
                <w:rFonts w:ascii="Times New Roman" w:eastAsia="等线" w:hAnsi="Times New Roman" w:cs="Times New Roman"/>
                <w:sz w:val="22"/>
              </w:rPr>
              <w:t>OPERATIONS</w:t>
            </w:r>
          </w:p>
          <w:p w:rsidR="00166DCB" w:rsidRDefault="00DD24FC">
            <w:pPr>
              <w:snapToGrid w:val="0"/>
              <w:spacing w:before="60" w:after="60"/>
              <w:rPr>
                <w:rFonts w:ascii="Times New Roman" w:eastAsia="宋体" w:hAnsi="Times New Roman" w:cs="Times New Roman"/>
                <w:sz w:val="22"/>
              </w:rPr>
            </w:pPr>
            <w:r>
              <w:rPr>
                <w:rFonts w:ascii="Times New Roman" w:eastAsia="宋体" w:hAnsi="Times New Roman" w:cs="Times New Roman"/>
                <w:sz w:val="22"/>
              </w:rPr>
              <w:t>…</w:t>
            </w:r>
          </w:p>
          <w:p w:rsidR="00166DCB" w:rsidRDefault="00DD24FC">
            <w:pPr>
              <w:snapToGrid w:val="0"/>
              <w:spacing w:before="60" w:after="60"/>
              <w:rPr>
                <w:rFonts w:ascii="Times New Roman" w:eastAsia="宋体" w:hAnsi="Times New Roman" w:cs="Times New Roman"/>
                <w:bCs/>
                <w:sz w:val="22"/>
              </w:rPr>
            </w:pPr>
            <w:r>
              <w:rPr>
                <w:rFonts w:ascii="Times New Roman" w:eastAsia="宋体" w:hAnsi="Times New Roman" w:cs="Times New Roman"/>
                <w:b/>
                <w:bCs/>
                <w:sz w:val="22"/>
              </w:rPr>
              <w:t>Article 33</w:t>
            </w:r>
            <w:r>
              <w:rPr>
                <w:rFonts w:ascii="Times New Roman" w:eastAsia="宋体" w:hAnsi="Times New Roman" w:cs="Times New Roman"/>
                <w:b/>
                <w:bCs/>
                <w:sz w:val="22"/>
              </w:rPr>
              <w:tab/>
            </w:r>
            <w:r>
              <w:rPr>
                <w:rFonts w:ascii="Times New Roman" w:eastAsia="宋体" w:hAnsi="Times New Roman" w:cs="Times New Roman"/>
                <w:bCs/>
                <w:sz w:val="22"/>
              </w:rPr>
              <w:t xml:space="preserve">The Exchange shall charge transaction fees based on the volume of contracts traded on that day and relevant specifications, and may, based on market conditions, charge order fees and other fees from specific Clients, and a part of </w:t>
            </w:r>
            <w:r>
              <w:rPr>
                <w:rFonts w:ascii="Times New Roman" w:eastAsia="宋体" w:hAnsi="Times New Roman" w:cs="Times New Roman"/>
                <w:bCs/>
                <w:sz w:val="22"/>
              </w:rPr>
              <w:t>or all of the Members and/or OSPs for listed products or contracts, unless otherwise prescribed by the Exchange.</w:t>
            </w:r>
          </w:p>
          <w:p w:rsidR="00166DCB" w:rsidRDefault="00DD24FC">
            <w:pPr>
              <w:snapToGrid w:val="0"/>
              <w:spacing w:before="60" w:after="60"/>
              <w:rPr>
                <w:rFonts w:ascii="Times New Roman" w:eastAsia="等线" w:hAnsi="Times New Roman" w:cs="Times New Roman"/>
                <w:b/>
                <w:color w:val="FF0000"/>
                <w:sz w:val="22"/>
              </w:rPr>
            </w:pPr>
            <w:r>
              <w:rPr>
                <w:rFonts w:ascii="Times New Roman" w:eastAsia="等线" w:hAnsi="Times New Roman" w:cs="Times New Roman"/>
                <w:b/>
                <w:color w:val="FF0000"/>
                <w:sz w:val="22"/>
              </w:rPr>
              <w:t>The Exchange may reduce the transaction fees payable by the Members, the schemes of which shall be separately formulated and adjusted by the Ex</w:t>
            </w:r>
            <w:r>
              <w:rPr>
                <w:rFonts w:ascii="Times New Roman" w:eastAsia="等线" w:hAnsi="Times New Roman" w:cs="Times New Roman"/>
                <w:b/>
                <w:color w:val="FF0000"/>
                <w:sz w:val="22"/>
              </w:rPr>
              <w:t>change</w:t>
            </w:r>
            <w:r>
              <w:rPr>
                <w:rFonts w:ascii="Times New Roman" w:eastAsia="等线" w:hAnsi="Times New Roman" w:cs="Times New Roman" w:hint="eastAsia"/>
                <w:b/>
                <w:color w:val="FF0000"/>
                <w:sz w:val="22"/>
              </w:rPr>
              <w:t xml:space="preserve"> </w:t>
            </w:r>
            <w:r>
              <w:rPr>
                <w:rFonts w:ascii="Times New Roman" w:eastAsia="等线" w:hAnsi="Times New Roman" w:cs="Times New Roman"/>
                <w:b/>
                <w:color w:val="FF0000"/>
                <w:sz w:val="22"/>
              </w:rPr>
              <w:t>based on the market situation.</w:t>
            </w:r>
          </w:p>
          <w:p w:rsidR="00166DCB" w:rsidRDefault="00DD24FC">
            <w:pPr>
              <w:snapToGrid w:val="0"/>
              <w:spacing w:before="60" w:after="60"/>
              <w:rPr>
                <w:rFonts w:ascii="Times New Roman" w:eastAsia="等线" w:hAnsi="Times New Roman" w:cs="Times New Roman"/>
                <w:sz w:val="22"/>
              </w:rPr>
            </w:pPr>
            <w:r>
              <w:rPr>
                <w:rFonts w:ascii="Times New Roman" w:eastAsia="等线" w:hAnsi="Times New Roman" w:cs="Times New Roman"/>
                <w:b/>
                <w:color w:val="FF0000"/>
                <w:sz w:val="22"/>
              </w:rPr>
              <w:t>Members shall regulate the use of transaction fees reduced by the Exchange in accordance with laws, regulations, rules and relevant provisions of the Exchange.</w:t>
            </w:r>
          </w:p>
        </w:tc>
        <w:tc>
          <w:tcPr>
            <w:tcW w:w="6974" w:type="dxa"/>
          </w:tcPr>
          <w:p w:rsidR="00166DCB" w:rsidRDefault="00DD24FC">
            <w:pPr>
              <w:snapToGrid w:val="0"/>
              <w:spacing w:before="60" w:after="60"/>
              <w:jc w:val="center"/>
              <w:rPr>
                <w:rFonts w:ascii="Times New Roman" w:eastAsia="等线" w:hAnsi="Times New Roman" w:cs="Times New Roman"/>
                <w:sz w:val="22"/>
              </w:rPr>
            </w:pPr>
            <w:r>
              <w:rPr>
                <w:rFonts w:ascii="Times New Roman" w:eastAsia="等线" w:hAnsi="Times New Roman" w:cs="Times New Roman"/>
                <w:sz w:val="22"/>
              </w:rPr>
              <w:t>CHAPTER 3  REGULAR OPERATIONS</w:t>
            </w:r>
          </w:p>
          <w:p w:rsidR="00166DCB" w:rsidRDefault="00DD24FC">
            <w:pPr>
              <w:snapToGrid w:val="0"/>
              <w:spacing w:before="60" w:after="60"/>
              <w:rPr>
                <w:rFonts w:ascii="Times New Roman" w:eastAsia="等线" w:hAnsi="Times New Roman" w:cs="Times New Roman"/>
                <w:sz w:val="22"/>
              </w:rPr>
            </w:pPr>
            <w:r>
              <w:rPr>
                <w:rFonts w:ascii="Times New Roman" w:eastAsia="等线" w:hAnsi="Times New Roman" w:cs="Times New Roman"/>
                <w:sz w:val="22"/>
              </w:rPr>
              <w:t>…</w:t>
            </w:r>
          </w:p>
          <w:p w:rsidR="00166DCB" w:rsidRDefault="00DD24FC">
            <w:pPr>
              <w:tabs>
                <w:tab w:val="left" w:pos="1276"/>
              </w:tabs>
              <w:adjustRightInd w:val="0"/>
              <w:snapToGrid w:val="0"/>
              <w:spacing w:before="60" w:after="60"/>
              <w:rPr>
                <w:rFonts w:ascii="Times New Roman" w:eastAsia="等线" w:hAnsi="Times New Roman" w:cs="Times New Roman"/>
                <w:sz w:val="22"/>
              </w:rPr>
            </w:pPr>
            <w:r>
              <w:rPr>
                <w:rFonts w:ascii="Times New Roman" w:eastAsia="等线" w:hAnsi="Times New Roman" w:cs="Times New Roman"/>
                <w:b/>
                <w:bCs/>
                <w:sz w:val="22"/>
              </w:rPr>
              <w:t>Article 33</w:t>
            </w:r>
            <w:r>
              <w:rPr>
                <w:rFonts w:ascii="Times New Roman" w:eastAsia="等线" w:hAnsi="Times New Roman" w:cs="Times New Roman"/>
                <w:b/>
                <w:bCs/>
                <w:sz w:val="22"/>
              </w:rPr>
              <w:tab/>
            </w:r>
            <w:r>
              <w:rPr>
                <w:rFonts w:ascii="Times New Roman" w:eastAsia="等线" w:hAnsi="Times New Roman" w:cs="Times New Roman"/>
                <w:bCs/>
                <w:sz w:val="22"/>
              </w:rPr>
              <w:t xml:space="preserve">The Exchange </w:t>
            </w:r>
            <w:r>
              <w:rPr>
                <w:rFonts w:ascii="Times New Roman" w:eastAsia="等线" w:hAnsi="Times New Roman" w:cs="Times New Roman"/>
                <w:bCs/>
                <w:sz w:val="22"/>
              </w:rPr>
              <w:t xml:space="preserve">shall charge transaction fees based on the volume of contracts traded on that day and relevant specifications, and may, based on market conditions, charge order fees and other fees from specific Clients, and a part of or all of the Members and/or OSPs for </w:t>
            </w:r>
            <w:r>
              <w:rPr>
                <w:rFonts w:ascii="Times New Roman" w:eastAsia="等线" w:hAnsi="Times New Roman" w:cs="Times New Roman"/>
                <w:bCs/>
                <w:sz w:val="22"/>
              </w:rPr>
              <w:t>listed products or contracts, unless otherwise prescribed by the Exchange.</w:t>
            </w:r>
          </w:p>
        </w:tc>
      </w:tr>
      <w:tr w:rsidR="00166DCB">
        <w:tc>
          <w:tcPr>
            <w:tcW w:w="6974" w:type="dxa"/>
          </w:tcPr>
          <w:p w:rsidR="00166DCB" w:rsidRDefault="00DD24FC">
            <w:pPr>
              <w:snapToGrid w:val="0"/>
              <w:spacing w:before="60" w:after="60"/>
              <w:jc w:val="center"/>
              <w:rPr>
                <w:rFonts w:ascii="Times New Roman" w:eastAsia="等线" w:hAnsi="Times New Roman" w:cs="Times New Roman"/>
                <w:sz w:val="22"/>
              </w:rPr>
            </w:pPr>
            <w:r>
              <w:rPr>
                <w:rFonts w:ascii="Times New Roman" w:eastAsia="等线" w:hAnsi="Times New Roman" w:cs="Times New Roman"/>
                <w:sz w:val="22"/>
              </w:rPr>
              <w:t>CHAPTER 8</w:t>
            </w:r>
            <w:r>
              <w:rPr>
                <w:rFonts w:ascii="Times New Roman" w:eastAsia="等线" w:hAnsi="Times New Roman" w:cs="Times New Roman"/>
                <w:sz w:val="22"/>
              </w:rPr>
              <w:tab/>
              <w:t>MISCELLANEOUS</w:t>
            </w:r>
          </w:p>
          <w:p w:rsidR="00166DCB" w:rsidRDefault="00DD24FC">
            <w:pPr>
              <w:snapToGrid w:val="0"/>
              <w:spacing w:before="60" w:after="60"/>
              <w:rPr>
                <w:rFonts w:ascii="Times New Roman" w:eastAsia="等线" w:hAnsi="Times New Roman" w:cs="Times New Roman"/>
                <w:sz w:val="22"/>
              </w:rPr>
            </w:pPr>
            <w:r>
              <w:rPr>
                <w:rFonts w:ascii="Times New Roman" w:eastAsia="等线" w:hAnsi="Times New Roman" w:cs="Times New Roman"/>
                <w:sz w:val="22"/>
              </w:rPr>
              <w:t>…</w:t>
            </w:r>
          </w:p>
          <w:p w:rsidR="00166DCB" w:rsidRDefault="00DD24FC">
            <w:pPr>
              <w:snapToGrid w:val="0"/>
              <w:spacing w:before="60" w:after="60"/>
              <w:rPr>
                <w:rFonts w:ascii="Times New Roman" w:eastAsia="等线" w:hAnsi="Times New Roman" w:cs="Times New Roman"/>
                <w:b/>
                <w:bCs/>
                <w:color w:val="FF0000"/>
                <w:sz w:val="22"/>
              </w:rPr>
            </w:pPr>
            <w:r>
              <w:rPr>
                <w:rFonts w:ascii="Times New Roman" w:eastAsia="等线" w:hAnsi="Times New Roman" w:cs="Times New Roman"/>
                <w:b/>
                <w:bCs/>
                <w:sz w:val="22"/>
              </w:rPr>
              <w:t xml:space="preserve">Article </w:t>
            </w:r>
            <w:r>
              <w:rPr>
                <w:rFonts w:ascii="Times New Roman" w:eastAsia="等线" w:hAnsi="Times New Roman" w:cs="Times New Roman"/>
                <w:b/>
                <w:bCs/>
                <w:color w:val="000000"/>
                <w:sz w:val="22"/>
              </w:rPr>
              <w:t>99</w:t>
            </w:r>
            <w:r>
              <w:rPr>
                <w:rFonts w:ascii="Times New Roman" w:eastAsia="等线" w:hAnsi="Times New Roman" w:cs="Times New Roman"/>
                <w:b/>
                <w:bCs/>
                <w:sz w:val="22"/>
              </w:rPr>
              <w:tab/>
            </w:r>
            <w:r>
              <w:rPr>
                <w:rFonts w:ascii="Times New Roman" w:eastAsia="等线" w:hAnsi="Times New Roman" w:cs="Times New Roman"/>
                <w:sz w:val="22"/>
              </w:rPr>
              <w:t xml:space="preserve">These </w:t>
            </w:r>
            <w:r>
              <w:rPr>
                <w:rFonts w:ascii="Times New Roman" w:eastAsia="等线" w:hAnsi="Times New Roman" w:cs="Times New Roman"/>
                <w:i/>
                <w:iCs/>
                <w:sz w:val="22"/>
              </w:rPr>
              <w:t>Clearing Rules</w:t>
            </w:r>
            <w:r>
              <w:rPr>
                <w:rFonts w:ascii="Times New Roman" w:eastAsia="等线" w:hAnsi="Times New Roman" w:cs="Times New Roman"/>
                <w:sz w:val="22"/>
              </w:rPr>
              <w:t xml:space="preserve"> shall take effect on </w:t>
            </w:r>
            <w:r>
              <w:rPr>
                <w:rFonts w:ascii="Times New Roman" w:eastAsia="方正仿宋简体" w:hAnsi="Times New Roman" w:cs="Times New Roman"/>
                <w:dstrike/>
                <w:sz w:val="22"/>
              </w:rPr>
              <w:t>September 25</w:t>
            </w:r>
            <w:r>
              <w:rPr>
                <w:rFonts w:ascii="Times New Roman" w:eastAsia="等线" w:hAnsi="Times New Roman" w:cs="Times New Roman"/>
                <w:b/>
                <w:color w:val="FF0000"/>
                <w:sz w:val="22"/>
              </w:rPr>
              <w:t xml:space="preserve"> June 1</w:t>
            </w:r>
            <w:r>
              <w:rPr>
                <w:rFonts w:ascii="Times New Roman" w:eastAsia="等线" w:hAnsi="Times New Roman" w:cs="Times New Roman"/>
                <w:b/>
                <w:color w:val="FF0000"/>
                <w:sz w:val="22"/>
              </w:rPr>
              <w:t>4</w:t>
            </w:r>
            <w:r>
              <w:rPr>
                <w:rFonts w:ascii="Times New Roman" w:eastAsia="等线" w:hAnsi="Times New Roman" w:cs="Times New Roman"/>
                <w:b/>
                <w:color w:val="FF0000"/>
                <w:sz w:val="22"/>
              </w:rPr>
              <w:t>,</w:t>
            </w:r>
            <w:r>
              <w:rPr>
                <w:rFonts w:ascii="Times New Roman" w:eastAsia="等线" w:hAnsi="Times New Roman" w:cs="Times New Roman"/>
                <w:b/>
                <w:color w:val="FF0000"/>
                <w:sz w:val="22"/>
              </w:rPr>
              <w:t xml:space="preserve"> </w:t>
            </w:r>
            <w:r>
              <w:rPr>
                <w:rFonts w:ascii="Times New Roman" w:eastAsia="等线" w:hAnsi="Times New Roman" w:cs="Times New Roman"/>
                <w:sz w:val="22"/>
              </w:rPr>
              <w:t>202</w:t>
            </w:r>
            <w:r>
              <w:rPr>
                <w:rFonts w:ascii="Times New Roman" w:eastAsia="方正仿宋简体" w:hAnsi="Times New Roman" w:cs="Times New Roman"/>
                <w:dstrike/>
                <w:sz w:val="22"/>
              </w:rPr>
              <w:t>3</w:t>
            </w:r>
            <w:r>
              <w:rPr>
                <w:rFonts w:ascii="Times New Roman" w:eastAsia="等线" w:hAnsi="Times New Roman" w:cs="Times New Roman"/>
                <w:b/>
                <w:color w:val="FF0000"/>
                <w:sz w:val="22"/>
              </w:rPr>
              <w:t>4</w:t>
            </w:r>
            <w:proofErr w:type="gramStart"/>
            <w:r>
              <w:rPr>
                <w:rFonts w:ascii="Times New Roman" w:eastAsia="等线" w:hAnsi="Times New Roman" w:cs="Times New Roman"/>
                <w:b/>
                <w:color w:val="FF0000"/>
                <w:sz w:val="22"/>
              </w:rPr>
              <w:t>.</w:t>
            </w:r>
            <w:r>
              <w:rPr>
                <w:rFonts w:ascii="Times New Roman" w:eastAsia="等线" w:hAnsi="Times New Roman" w:cs="Times New Roman"/>
                <w:sz w:val="22"/>
              </w:rPr>
              <w:t>.</w:t>
            </w:r>
            <w:proofErr w:type="gramEnd"/>
          </w:p>
        </w:tc>
        <w:tc>
          <w:tcPr>
            <w:tcW w:w="6974" w:type="dxa"/>
          </w:tcPr>
          <w:p w:rsidR="00166DCB" w:rsidRDefault="00DD24FC">
            <w:pPr>
              <w:snapToGrid w:val="0"/>
              <w:spacing w:before="60" w:after="60"/>
              <w:jc w:val="center"/>
              <w:rPr>
                <w:rFonts w:ascii="Times New Roman" w:eastAsia="等线" w:hAnsi="Times New Roman" w:cs="Times New Roman"/>
                <w:sz w:val="22"/>
              </w:rPr>
            </w:pPr>
            <w:r>
              <w:rPr>
                <w:rFonts w:ascii="Times New Roman" w:eastAsia="等线" w:hAnsi="Times New Roman" w:cs="Times New Roman"/>
                <w:sz w:val="22"/>
              </w:rPr>
              <w:t>CHAPTER 8</w:t>
            </w:r>
            <w:r>
              <w:rPr>
                <w:rFonts w:ascii="Times New Roman" w:eastAsia="等线" w:hAnsi="Times New Roman" w:cs="Times New Roman"/>
                <w:sz w:val="22"/>
              </w:rPr>
              <w:tab/>
              <w:t>MISCELLANEOUS</w:t>
            </w:r>
          </w:p>
          <w:p w:rsidR="00166DCB" w:rsidRDefault="00DD24FC">
            <w:pPr>
              <w:snapToGrid w:val="0"/>
              <w:spacing w:before="60" w:after="60"/>
              <w:rPr>
                <w:rFonts w:ascii="Times New Roman" w:eastAsia="等线" w:hAnsi="Times New Roman" w:cs="Times New Roman"/>
                <w:sz w:val="22"/>
              </w:rPr>
            </w:pPr>
            <w:r>
              <w:rPr>
                <w:rFonts w:ascii="Times New Roman" w:eastAsia="等线" w:hAnsi="Times New Roman" w:cs="Times New Roman"/>
                <w:sz w:val="22"/>
              </w:rPr>
              <w:t>…</w:t>
            </w:r>
          </w:p>
          <w:p w:rsidR="00166DCB" w:rsidRDefault="00DD24FC">
            <w:pPr>
              <w:snapToGrid w:val="0"/>
              <w:spacing w:before="60" w:after="60"/>
              <w:rPr>
                <w:rFonts w:ascii="Times New Roman" w:eastAsia="等线" w:hAnsi="Times New Roman" w:cs="Times New Roman"/>
                <w:sz w:val="22"/>
              </w:rPr>
            </w:pPr>
            <w:r>
              <w:rPr>
                <w:rFonts w:ascii="Times New Roman" w:eastAsia="等线" w:hAnsi="Times New Roman" w:cs="Times New Roman"/>
                <w:b/>
                <w:bCs/>
                <w:sz w:val="22"/>
              </w:rPr>
              <w:t>Article 99</w:t>
            </w:r>
            <w:r>
              <w:rPr>
                <w:rFonts w:ascii="Times New Roman" w:eastAsia="等线" w:hAnsi="Times New Roman" w:cs="Times New Roman"/>
                <w:b/>
                <w:bCs/>
                <w:sz w:val="22"/>
              </w:rPr>
              <w:tab/>
            </w:r>
            <w:r>
              <w:rPr>
                <w:rFonts w:ascii="Times New Roman" w:eastAsia="等线" w:hAnsi="Times New Roman" w:cs="Times New Roman"/>
                <w:sz w:val="22"/>
              </w:rPr>
              <w:t xml:space="preserve">These </w:t>
            </w:r>
            <w:r>
              <w:rPr>
                <w:rFonts w:ascii="Times New Roman" w:eastAsia="等线" w:hAnsi="Times New Roman" w:cs="Times New Roman"/>
                <w:i/>
                <w:iCs/>
                <w:sz w:val="22"/>
              </w:rPr>
              <w:t>Clearing Rules</w:t>
            </w:r>
            <w:r>
              <w:rPr>
                <w:rFonts w:ascii="Times New Roman" w:eastAsia="等线" w:hAnsi="Times New Roman" w:cs="Times New Roman"/>
                <w:sz w:val="22"/>
              </w:rPr>
              <w:t xml:space="preserve"> shall take effect on September 25, 2023.</w:t>
            </w:r>
          </w:p>
        </w:tc>
      </w:tr>
    </w:tbl>
    <w:p w:rsidR="00166DCB" w:rsidRDefault="00166DCB">
      <w:bookmarkStart w:id="0" w:name="_GoBack"/>
      <w:bookmarkEnd w:id="0"/>
    </w:p>
    <w:sectPr w:rsidR="00166DCB" w:rsidSect="00166DCB">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24FC" w:rsidRDefault="00DD24FC" w:rsidP="00166DCB">
      <w:r>
        <w:separator/>
      </w:r>
    </w:p>
  </w:endnote>
  <w:endnote w:type="continuationSeparator" w:id="0">
    <w:p w:rsidR="00DD24FC" w:rsidRDefault="00DD24FC" w:rsidP="00166DCB">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24FC" w:rsidRDefault="00DD24FC" w:rsidP="00166DCB">
      <w:r>
        <w:separator/>
      </w:r>
    </w:p>
  </w:footnote>
  <w:footnote w:type="continuationSeparator" w:id="0">
    <w:p w:rsidR="00DD24FC" w:rsidRDefault="00DD24FC" w:rsidP="00166D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DCB" w:rsidRDefault="00DD24FC">
    <w:pPr>
      <w:pStyle w:val="a4"/>
      <w:rPr>
        <w:rFonts w:ascii="Times New Roman" w:hAnsi="Times New Roman" w:cs="Times New Roman"/>
      </w:rPr>
    </w:pPr>
    <w:r>
      <w:t xml:space="preserve">                                                                         </w:t>
    </w:r>
    <w:r>
      <w:rPr>
        <w:rFonts w:ascii="Times New Roman" w:hAnsi="Times New Roman" w:cs="Times New Roman"/>
      </w:rPr>
      <w:t xml:space="preserve">  For Reference Only</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407F4"/>
    <w:rsid w:val="AFF26337"/>
    <w:rsid w:val="00166DCB"/>
    <w:rsid w:val="001A74D6"/>
    <w:rsid w:val="001F69F6"/>
    <w:rsid w:val="0023060C"/>
    <w:rsid w:val="003E148B"/>
    <w:rsid w:val="004F1C8E"/>
    <w:rsid w:val="005702E1"/>
    <w:rsid w:val="0061355B"/>
    <w:rsid w:val="006B1CE8"/>
    <w:rsid w:val="006C3772"/>
    <w:rsid w:val="007674EA"/>
    <w:rsid w:val="007A00B0"/>
    <w:rsid w:val="007D09C2"/>
    <w:rsid w:val="007E17A3"/>
    <w:rsid w:val="008407F4"/>
    <w:rsid w:val="00850582"/>
    <w:rsid w:val="00875F6B"/>
    <w:rsid w:val="009F1C37"/>
    <w:rsid w:val="00A0256C"/>
    <w:rsid w:val="00B24503"/>
    <w:rsid w:val="00DD24FC"/>
    <w:rsid w:val="00E16C7F"/>
    <w:rsid w:val="00F869CF"/>
    <w:rsid w:val="00FA67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DC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166DCB"/>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166DC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166DCB"/>
    <w:rPr>
      <w:sz w:val="18"/>
      <w:szCs w:val="18"/>
    </w:rPr>
  </w:style>
  <w:style w:type="character" w:customStyle="1" w:styleId="Char">
    <w:name w:val="页脚 Char"/>
    <w:basedOn w:val="a0"/>
    <w:link w:val="a3"/>
    <w:uiPriority w:val="99"/>
    <w:qFormat/>
    <w:rsid w:val="00166DCB"/>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1323</Characters>
  <Application>Microsoft Office Word</Application>
  <DocSecurity>0</DocSecurity>
  <Lines>11</Lines>
  <Paragraphs>3</Paragraphs>
  <ScaleCrop>false</ScaleCrop>
  <Company>SHFE</Company>
  <LinksUpToDate>false</LinksUpToDate>
  <CharactersWithSpaces>1551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孙欣鹏</dc:creator>
  <cp:lastModifiedBy>郑子函</cp:lastModifiedBy>
  <cp:revision>2</cp:revision>
  <dcterms:created xsi:type="dcterms:W3CDTF">2024-06-14T08:44:00Z</dcterms:created>
  <dcterms:modified xsi:type="dcterms:W3CDTF">2024-06-14T08:44:00Z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2052-11.8.2.10552</vt:lpwstr>
  </property>
</Properties>
</file>