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35" w:rsidRPr="000A4B9F" w:rsidRDefault="00125835" w:rsidP="00125835">
      <w:pPr>
        <w:jc w:val="left"/>
        <w:rPr>
          <w:rFonts w:ascii="Times New Roman" w:eastAsia="方正仿宋简体" w:hAnsi="Times New Roman" w:cs="Times New Roman"/>
          <w:b/>
          <w:sz w:val="32"/>
        </w:rPr>
      </w:pPr>
      <w:r w:rsidRPr="000A4B9F">
        <w:rPr>
          <w:rFonts w:ascii="Times New Roman" w:eastAsia="方正仿宋简体" w:hAnsi="Times New Roman" w:cs="Times New Roman"/>
          <w:b/>
          <w:sz w:val="32"/>
        </w:rPr>
        <w:t>Appendix 1</w:t>
      </w:r>
    </w:p>
    <w:p w:rsidR="00125835" w:rsidRPr="000A4B9F" w:rsidRDefault="00125835" w:rsidP="00125835">
      <w:pPr>
        <w:jc w:val="center"/>
        <w:rPr>
          <w:rFonts w:ascii="Times New Roman" w:eastAsia="方正大标宋简体" w:hAnsi="Times New Roman" w:cs="Times New Roman"/>
          <w:b/>
          <w:sz w:val="42"/>
          <w:szCs w:val="42"/>
        </w:rPr>
      </w:pPr>
      <w:r w:rsidRPr="000A4B9F">
        <w:rPr>
          <w:rFonts w:ascii="Times New Roman" w:eastAsia="方正大标宋简体" w:hAnsi="Times New Roman" w:cs="Times New Roman"/>
          <w:b/>
          <w:sz w:val="42"/>
          <w:szCs w:val="42"/>
        </w:rPr>
        <w:t xml:space="preserve">The </w:t>
      </w:r>
      <w:r w:rsidRPr="00057DF1">
        <w:rPr>
          <w:rFonts w:ascii="Times New Roman" w:eastAsia="方正大标宋简体" w:hAnsi="Times New Roman" w:cs="Times New Roman"/>
          <w:b/>
          <w:sz w:val="42"/>
          <w:szCs w:val="42"/>
        </w:rPr>
        <w:t>Aluminum</w:t>
      </w:r>
      <w:r w:rsidRPr="000A4B9F">
        <w:rPr>
          <w:rFonts w:ascii="Times New Roman" w:eastAsia="方正大标宋简体" w:hAnsi="Times New Roman" w:cs="Times New Roman"/>
          <w:b/>
          <w:sz w:val="42"/>
          <w:szCs w:val="42"/>
        </w:rPr>
        <w:t xml:space="preserve"> Futures Contract of Shanghai Futures Exchange</w:t>
      </w:r>
    </w:p>
    <w:p w:rsidR="00125835" w:rsidRPr="00057DF1" w:rsidRDefault="00125835" w:rsidP="00125835">
      <w:pPr>
        <w:ind w:firstLineChars="100" w:firstLine="280"/>
        <w:rPr>
          <w:rFonts w:ascii="Times New Roman" w:eastAsia="方正楷体简体" w:hAnsi="Times New Roman" w:cs="Times New Roman"/>
          <w:sz w:val="28"/>
          <w:szCs w:val="28"/>
        </w:rPr>
      </w:pPr>
      <w:r w:rsidRPr="000A4B9F">
        <w:rPr>
          <w:rFonts w:ascii="Times New Roman" w:eastAsia="方正楷体简体" w:hAnsi="Times New Roman" w:cs="Times New Roman"/>
          <w:sz w:val="28"/>
          <w:szCs w:val="28"/>
        </w:rPr>
        <w:t>Note</w:t>
      </w:r>
      <w:r w:rsidRPr="000A4B9F">
        <w:rPr>
          <w:rFonts w:ascii="Times New Roman" w:eastAsia="方正楷体简体" w:hAnsi="Times New Roman" w:cs="Times New Roman"/>
          <w:sz w:val="28"/>
          <w:szCs w:val="28"/>
        </w:rPr>
        <w:t>：</w:t>
      </w:r>
      <w:r>
        <w:rPr>
          <w:rFonts w:ascii="Times New Roman" w:eastAsia="方正楷体简体" w:hAnsi="Times New Roman" w:cs="Times New Roman"/>
          <w:sz w:val="28"/>
          <w:szCs w:val="28"/>
        </w:rPr>
        <w:t>W</w:t>
      </w:r>
      <w:r w:rsidRPr="000A4B9F">
        <w:rPr>
          <w:rFonts w:ascii="Times New Roman" w:eastAsia="方正楷体简体" w:hAnsi="Times New Roman" w:cs="Times New Roman"/>
          <w:sz w:val="28"/>
          <w:szCs w:val="28"/>
        </w:rPr>
        <w:t>ords with double strikethrough are deleted and those in red and bold are newly added.</w:t>
      </w:r>
    </w:p>
    <w:tbl>
      <w:tblPr>
        <w:tblStyle w:val="a3"/>
        <w:tblW w:w="0" w:type="auto"/>
        <w:tblLook w:val="04A0"/>
      </w:tblPr>
      <w:tblGrid>
        <w:gridCol w:w="1865"/>
        <w:gridCol w:w="5199"/>
        <w:gridCol w:w="340"/>
        <w:gridCol w:w="1525"/>
        <w:gridCol w:w="5245"/>
      </w:tblGrid>
      <w:tr w:rsidR="00125835" w:rsidRPr="00567BD0" w:rsidTr="00ED727B">
        <w:tc>
          <w:tcPr>
            <w:tcW w:w="6941" w:type="dxa"/>
            <w:gridSpan w:val="2"/>
            <w:shd w:val="clear" w:color="auto" w:fill="548DD4"/>
          </w:tcPr>
          <w:p w:rsidR="00125835" w:rsidRPr="00567BD0" w:rsidRDefault="00125835" w:rsidP="00ED727B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</w:pPr>
            <w:r w:rsidRPr="00567BD0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C</w:t>
            </w:r>
            <w:r w:rsidRPr="00567BD0"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  <w:t>urrent Version</w:t>
            </w:r>
            <w:r w:rsidRPr="00567BD0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（</w:t>
            </w:r>
            <w:r w:rsidRPr="00567BD0"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  <w:t>January 17,2023</w:t>
            </w:r>
            <w:r w:rsidRPr="00567BD0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）</w:t>
            </w:r>
          </w:p>
        </w:tc>
        <w:tc>
          <w:tcPr>
            <w:tcW w:w="7007" w:type="dxa"/>
            <w:gridSpan w:val="3"/>
            <w:shd w:val="clear" w:color="auto" w:fill="548DD4"/>
          </w:tcPr>
          <w:p w:rsidR="00125835" w:rsidRPr="00567BD0" w:rsidRDefault="00125835" w:rsidP="00ED727B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</w:pPr>
            <w:r w:rsidRPr="00567BD0">
              <w:rPr>
                <w:rFonts w:ascii="Times New Roman" w:eastAsia="方正仿宋简体" w:hAnsi="Times New Roman" w:cs="Times New Roman" w:hint="eastAsia"/>
                <w:b/>
                <w:color w:val="FFFFFF"/>
                <w:sz w:val="28"/>
                <w:szCs w:val="30"/>
              </w:rPr>
              <w:t>R</w:t>
            </w:r>
            <w:r w:rsidRPr="00567BD0">
              <w:rPr>
                <w:rFonts w:ascii="Times New Roman" w:eastAsia="方正仿宋简体" w:hAnsi="Times New Roman" w:cs="Times New Roman"/>
                <w:b/>
                <w:color w:val="FFFFFF"/>
                <w:sz w:val="28"/>
                <w:szCs w:val="30"/>
              </w:rPr>
              <w:t>evised Version</w:t>
            </w:r>
          </w:p>
        </w:tc>
      </w:tr>
      <w:tr w:rsidR="00125835" w:rsidRPr="00567BD0" w:rsidTr="00ED727B">
        <w:trPr>
          <w:trHeight w:val="1612"/>
        </w:trPr>
        <w:tc>
          <w:tcPr>
            <w:tcW w:w="1503" w:type="dxa"/>
            <w:vMerge w:val="restart"/>
            <w:vAlign w:val="center"/>
          </w:tcPr>
          <w:p w:rsidR="00125835" w:rsidRPr="00891398" w:rsidRDefault="00125835" w:rsidP="00ED727B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891398"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  <w:t>Grade and Quality Specifications</w:t>
            </w:r>
          </w:p>
        </w:tc>
        <w:tc>
          <w:tcPr>
            <w:tcW w:w="5438" w:type="dxa"/>
          </w:tcPr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Standard: AL99.70 aluminum ingots as prescribed in National Standard GB/T 1196-2017, with aluminum content not less than 99.70%.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25835" w:rsidRPr="00891398" w:rsidRDefault="00125835" w:rsidP="00ED727B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30"/>
                <w:bdr w:val="none" w:sz="0" w:space="0" w:color="auto" w:frame="1"/>
              </w:rPr>
            </w:pPr>
            <w:r w:rsidRPr="00891398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30"/>
                <w:bdr w:val="none" w:sz="0" w:space="0" w:color="auto" w:frame="1"/>
              </w:rPr>
              <w:t>Grade and Quality Specifications</w:t>
            </w:r>
          </w:p>
        </w:tc>
        <w:tc>
          <w:tcPr>
            <w:tcW w:w="5448" w:type="dxa"/>
          </w:tcPr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30"/>
              </w:rPr>
            </w:pP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Standard: AL99.70 aluminum ingots as prescribed in National Standard</w:t>
            </w:r>
            <w:r w:rsidRPr="00567BD0"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 xml:space="preserve"> GB/T 1196-2017</w:t>
            </w:r>
            <w:r w:rsidRPr="00567BD0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 xml:space="preserve">GB/T 1196-2023 </w:t>
            </w: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, with aluminum content not less than 99.70%.</w:t>
            </w:r>
          </w:p>
        </w:tc>
      </w:tr>
      <w:tr w:rsidR="00125835" w:rsidRPr="00567BD0" w:rsidTr="00ED727B">
        <w:trPr>
          <w:trHeight w:val="1680"/>
        </w:trPr>
        <w:tc>
          <w:tcPr>
            <w:tcW w:w="1503" w:type="dxa"/>
            <w:vMerge/>
          </w:tcPr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sz w:val="28"/>
                <w:szCs w:val="30"/>
              </w:rPr>
            </w:pPr>
          </w:p>
        </w:tc>
        <w:tc>
          <w:tcPr>
            <w:tcW w:w="5438" w:type="dxa"/>
          </w:tcPr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 xml:space="preserve">Substitute: 1. AL99.80 and AL99.85 aluminum ingots as prescribed in National Standard GB/T 1196-2017. </w:t>
            </w:r>
          </w:p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2. P1020A aluminum ingots.</w:t>
            </w:r>
          </w:p>
        </w:tc>
        <w:tc>
          <w:tcPr>
            <w:tcW w:w="1559" w:type="dxa"/>
            <w:gridSpan w:val="2"/>
            <w:vMerge/>
          </w:tcPr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</w:pPr>
          </w:p>
        </w:tc>
        <w:tc>
          <w:tcPr>
            <w:tcW w:w="5448" w:type="dxa"/>
          </w:tcPr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 xml:space="preserve">Substitute: 1. AL99.80 and AL99.85 aluminum ingots as prescribed in National Standard </w:t>
            </w:r>
            <w:r w:rsidRPr="00567BD0"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 xml:space="preserve">GB/T 1196-2017 </w:t>
            </w:r>
            <w:r w:rsidRPr="00567BD0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>GB/T 1196-2023</w:t>
            </w: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 xml:space="preserve">. </w:t>
            </w:r>
          </w:p>
          <w:p w:rsidR="00125835" w:rsidRPr="00567BD0" w:rsidRDefault="00125835" w:rsidP="00ED727B">
            <w:pPr>
              <w:spacing w:line="520" w:lineRule="exact"/>
              <w:jc w:val="left"/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仿宋简体" w:hAnsi="Times New Roman" w:cs="Times New Roman"/>
                <w:kern w:val="0"/>
                <w:sz w:val="28"/>
                <w:szCs w:val="30"/>
                <w:bdr w:val="none" w:sz="0" w:space="0" w:color="auto" w:frame="1"/>
              </w:rPr>
              <w:t>2. P1020A aluminum ingots.</w:t>
            </w:r>
          </w:p>
        </w:tc>
      </w:tr>
      <w:tr w:rsidR="00125835" w:rsidRPr="00567BD0" w:rsidTr="00ED727B">
        <w:tc>
          <w:tcPr>
            <w:tcW w:w="13948" w:type="dxa"/>
            <w:gridSpan w:val="5"/>
          </w:tcPr>
          <w:p w:rsidR="00125835" w:rsidRPr="00567BD0" w:rsidRDefault="00125835" w:rsidP="00ED727B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/>
                <w:sz w:val="28"/>
                <w:szCs w:val="30"/>
              </w:rPr>
            </w:pPr>
            <w:r w:rsidRPr="00567BD0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30"/>
                <w:bdr w:val="none" w:sz="0" w:space="0" w:color="auto" w:frame="1"/>
              </w:rPr>
              <w:t xml:space="preserve">Appendix </w:t>
            </w:r>
            <w:proofErr w:type="spellStart"/>
            <w:r w:rsidRPr="00567BD0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30"/>
                <w:bdr w:val="none" w:sz="0" w:space="0" w:color="auto" w:frame="1"/>
              </w:rPr>
              <w:t>toAluminum</w:t>
            </w:r>
            <w:proofErr w:type="spellEnd"/>
            <w:r w:rsidRPr="00567BD0">
              <w:rPr>
                <w:rFonts w:ascii="Times New Roman" w:eastAsia="方正仿宋简体" w:hAnsi="Times New Roman" w:cs="Times New Roman"/>
                <w:b/>
                <w:kern w:val="0"/>
                <w:sz w:val="28"/>
                <w:szCs w:val="30"/>
                <w:bdr w:val="none" w:sz="0" w:space="0" w:color="auto" w:frame="1"/>
              </w:rPr>
              <w:t xml:space="preserve"> Futures Contract Specifications</w:t>
            </w:r>
          </w:p>
        </w:tc>
      </w:tr>
      <w:tr w:rsidR="00125835" w:rsidRPr="00567BD0" w:rsidTr="00ED727B">
        <w:tc>
          <w:tcPr>
            <w:tcW w:w="7222" w:type="dxa"/>
            <w:gridSpan w:val="3"/>
          </w:tcPr>
          <w:p w:rsidR="00125835" w:rsidRPr="00567BD0" w:rsidRDefault="00125835" w:rsidP="00ED727B">
            <w:pPr>
              <w:widowControl/>
              <w:shd w:val="clear" w:color="auto" w:fill="FFFFFF"/>
              <w:spacing w:line="520" w:lineRule="exact"/>
              <w:ind w:firstLineChars="200" w:firstLine="562"/>
              <w:jc w:val="left"/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黑体简体" w:hAnsi="Times New Roman" w:cs="Times New Roman"/>
                <w:b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>II. Quality Specifications</w:t>
            </w:r>
          </w:p>
          <w:p w:rsidR="00125835" w:rsidRPr="00567BD0" w:rsidRDefault="00125835" w:rsidP="00ED727B">
            <w:pPr>
              <w:widowControl/>
              <w:shd w:val="clear" w:color="auto" w:fill="FFFFFF"/>
              <w:spacing w:line="520" w:lineRule="exact"/>
              <w:ind w:firstLineChars="200" w:firstLine="560"/>
              <w:jc w:val="left"/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黑体简体" w:hAnsi="Times New Roman" w:cs="Times New Roman" w:hint="eastAsia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lastRenderedPageBreak/>
              <w:t>（</w:t>
            </w:r>
            <w:r w:rsidRPr="00567BD0">
              <w:rPr>
                <w:rFonts w:ascii="Times New Roman" w:eastAsia="方正黑体简体" w:hAnsi="Times New Roman" w:cs="Times New Roman" w:hint="eastAsia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>1</w:t>
            </w:r>
            <w:r w:rsidRPr="00567BD0">
              <w:rPr>
                <w:rFonts w:ascii="Times New Roman" w:eastAsia="方正黑体简体" w:hAnsi="Times New Roman" w:cs="Times New Roman" w:hint="eastAsia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>）</w:t>
            </w:r>
            <w:r w:rsidRPr="00567BD0"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>Aluminum used for physical delivery must comply with such all specifications as prescribed in the international GB/T1196-2017 AL99.70, such as aluminum content, impurity content and others.</w:t>
            </w:r>
          </w:p>
        </w:tc>
        <w:tc>
          <w:tcPr>
            <w:tcW w:w="6726" w:type="dxa"/>
            <w:gridSpan w:val="2"/>
          </w:tcPr>
          <w:p w:rsidR="00125835" w:rsidRPr="00567BD0" w:rsidRDefault="00125835" w:rsidP="00ED727B">
            <w:pPr>
              <w:widowControl/>
              <w:shd w:val="clear" w:color="auto" w:fill="FFFFFF"/>
              <w:spacing w:line="520" w:lineRule="exact"/>
              <w:ind w:firstLineChars="200" w:firstLine="562"/>
              <w:jc w:val="left"/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黑体简体" w:hAnsi="Times New Roman" w:cs="Times New Roman"/>
                <w:b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lastRenderedPageBreak/>
              <w:t>II. Quality Specifications</w:t>
            </w:r>
          </w:p>
          <w:p w:rsidR="00125835" w:rsidRPr="00567BD0" w:rsidRDefault="00125835" w:rsidP="00ED727B">
            <w:pPr>
              <w:widowControl/>
              <w:shd w:val="clear" w:color="auto" w:fill="FFFFFF"/>
              <w:spacing w:line="520" w:lineRule="exact"/>
              <w:ind w:firstLineChars="200" w:firstLine="560"/>
              <w:jc w:val="left"/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</w:pPr>
            <w:r w:rsidRPr="00567BD0">
              <w:rPr>
                <w:rFonts w:ascii="Times New Roman" w:eastAsia="方正黑体简体" w:hAnsi="Times New Roman" w:cs="Times New Roman" w:hint="eastAsia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lastRenderedPageBreak/>
              <w:t>（</w:t>
            </w:r>
            <w:r w:rsidRPr="00567BD0">
              <w:rPr>
                <w:rFonts w:ascii="Times New Roman" w:eastAsia="方正黑体简体" w:hAnsi="Times New Roman" w:cs="Times New Roman" w:hint="eastAsia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>1</w:t>
            </w:r>
            <w:r w:rsidRPr="00567BD0">
              <w:rPr>
                <w:rFonts w:ascii="Times New Roman" w:eastAsia="方正黑体简体" w:hAnsi="Times New Roman" w:cs="Times New Roman" w:hint="eastAsia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>）</w:t>
            </w:r>
            <w:r w:rsidRPr="00567BD0"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 xml:space="preserve">Aluminum used for physical delivery must comply with such all specifications as prescribed in the international </w:t>
            </w:r>
            <w:r w:rsidRPr="00567BD0">
              <w:rPr>
                <w:rFonts w:ascii="Times New Roman" w:eastAsia="方正仿宋简体" w:hAnsi="Times New Roman" w:cs="Times New Roman"/>
                <w:dstrike/>
                <w:kern w:val="0"/>
                <w:sz w:val="28"/>
                <w:szCs w:val="30"/>
                <w:bdr w:val="none" w:sz="0" w:space="0" w:color="auto" w:frame="1"/>
              </w:rPr>
              <w:t xml:space="preserve">GB/T1196-2017 </w:t>
            </w:r>
            <w:r w:rsidRPr="00567BD0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30"/>
                <w:bdr w:val="none" w:sz="0" w:space="0" w:color="auto" w:frame="1"/>
              </w:rPr>
              <w:t>GB/T1196-2023</w:t>
            </w:r>
            <w:r w:rsidRPr="00567BD0">
              <w:rPr>
                <w:rFonts w:ascii="Times New Roman" w:eastAsia="方正黑体简体" w:hAnsi="Times New Roman" w:cs="Times New Roman"/>
                <w:bCs/>
                <w:color w:val="212121"/>
                <w:kern w:val="0"/>
                <w:sz w:val="28"/>
                <w:szCs w:val="30"/>
                <w:bdr w:val="none" w:sz="0" w:space="0" w:color="auto" w:frame="1"/>
              </w:rPr>
              <w:t xml:space="preserve"> AL99.70, such as aluminum content, impurity content and others.</w:t>
            </w:r>
          </w:p>
        </w:tc>
      </w:tr>
    </w:tbl>
    <w:p w:rsidR="00140883" w:rsidRPr="00125835" w:rsidRDefault="00140883"/>
    <w:sectPr w:rsidR="00140883" w:rsidRPr="00125835" w:rsidSect="001258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835"/>
    <w:rsid w:val="00125835"/>
    <w:rsid w:val="0014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SHFE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2024-07-12T07:56:00Z</dcterms:created>
  <dcterms:modified xsi:type="dcterms:W3CDTF">2024-07-12T07:58:00Z</dcterms:modified>
</cp:coreProperties>
</file>