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56" w:afterLines="50" w:line="276" w:lineRule="auto"/>
        <w:jc w:val="center"/>
        <w:rPr>
          <w:rFonts w:ascii="Times New Roman" w:hAnsi="Times New Roman" w:eastAsia="华文中宋"/>
          <w:b/>
          <w:sz w:val="28"/>
          <w:szCs w:val="28"/>
        </w:rPr>
      </w:pPr>
      <w:r>
        <w:rPr>
          <w:rFonts w:ascii="Times New Roman" w:hAnsi="Times New Roman" w:eastAsia="华文中宋"/>
          <w:b/>
          <w:sz w:val="28"/>
          <w:szCs w:val="28"/>
        </w:rPr>
        <w:t>RISK MANAGEMENT RULES OF THE SHANGHAI FUTURES EXCHANGE</w:t>
      </w:r>
    </w:p>
    <w:p>
      <w:pPr>
        <w:widowControl/>
        <w:adjustRightInd w:val="0"/>
        <w:snapToGrid w:val="0"/>
        <w:spacing w:after="156" w:afterLines="50" w:line="276" w:lineRule="auto"/>
        <w:jc w:val="center"/>
        <w:rPr>
          <w:rFonts w:ascii="Times New Roman" w:hAnsi="Times New Roman" w:eastAsia="华文中宋"/>
          <w:b/>
          <w:sz w:val="28"/>
          <w:szCs w:val="28"/>
        </w:rPr>
      </w:pPr>
      <w:r>
        <w:rPr>
          <w:rFonts w:ascii="Times New Roman" w:hAnsi="Times New Roman" w:eastAsia="华文中宋"/>
          <w:b/>
          <w:sz w:val="28"/>
          <w:szCs w:val="28"/>
        </w:rPr>
        <w:t>(Revised Version)</w:t>
      </w:r>
      <w:r>
        <w:rPr>
          <w:rFonts w:hint="eastAsia" w:ascii="Times New Roman" w:hAnsi="Times New Roman" w:eastAsia="华文中宋"/>
          <w:b/>
          <w:sz w:val="28"/>
          <w:szCs w:val="28"/>
        </w:rPr>
        <w:t xml:space="preserve"> </w:t>
      </w:r>
    </w:p>
    <w:p>
      <w:pPr>
        <w:widowControl/>
        <w:adjustRightInd w:val="0"/>
        <w:snapToGrid w:val="0"/>
        <w:spacing w:after="312" w:afterLines="100" w:line="276" w:lineRule="auto"/>
        <w:jc w:val="center"/>
        <w:rPr>
          <w:rFonts w:ascii="Times New Roman" w:hAnsi="Times New Roman" w:cs="Times New Roman"/>
          <w:color w:val="000000"/>
          <w:sz w:val="22"/>
        </w:rPr>
      </w:pPr>
    </w:p>
    <w:p>
      <w:pPr>
        <w:widowControl/>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Chapter 1</w:t>
      </w:r>
      <w:r>
        <w:rPr>
          <w:rFonts w:ascii="Times New Roman" w:hAnsi="Times New Roman" w:eastAsia="华文中宋"/>
          <w:b/>
          <w:sz w:val="22"/>
        </w:rPr>
        <w:tab/>
      </w:r>
      <w:r>
        <w:rPr>
          <w:rFonts w:ascii="Times New Roman" w:hAnsi="Times New Roman" w:eastAsia="华文中宋"/>
          <w:b/>
          <w:sz w:val="22"/>
        </w:rPr>
        <w:t>GENERAL PROVISIONS</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
          <w:sz w:val="22"/>
        </w:rPr>
        <w:t>Article 1</w:t>
      </w:r>
      <w:r>
        <w:rPr>
          <w:rFonts w:ascii="Times New Roman" w:hAnsi="Times New Roman" w:eastAsia="华文中宋"/>
          <w:b/>
          <w:sz w:val="22"/>
        </w:rPr>
        <w:tab/>
      </w:r>
      <w:r>
        <w:rPr>
          <w:rFonts w:ascii="Times New Roman" w:hAnsi="Times New Roman" w:eastAsia="华文中宋"/>
          <w:bCs/>
          <w:sz w:val="22"/>
        </w:rPr>
        <w:t xml:space="preserve">These </w:t>
      </w:r>
      <w:r>
        <w:rPr>
          <w:rFonts w:ascii="Times New Roman" w:hAnsi="Times New Roman" w:eastAsia="华文中宋"/>
          <w:bCs/>
          <w:i/>
          <w:iCs/>
          <w:sz w:val="22"/>
        </w:rPr>
        <w:t>Risk Management Rules</w:t>
      </w:r>
      <w:r>
        <w:rPr>
          <w:rFonts w:ascii="Times New Roman" w:hAnsi="Times New Roman" w:eastAsia="华文中宋"/>
          <w:bCs/>
          <w:sz w:val="22"/>
        </w:rPr>
        <w:t xml:space="preserve"> are made, in accordance with the</w:t>
      </w:r>
      <w:r>
        <w:rPr>
          <w:rFonts w:ascii="Times New Roman" w:hAnsi="Times New Roman" w:eastAsia="华文中宋"/>
          <w:bCs/>
          <w:i/>
          <w:iCs/>
          <w:sz w:val="22"/>
        </w:rPr>
        <w:t xml:space="preserve"> General Exchange Rules of the Shanghai Futures Exchange</w:t>
      </w:r>
      <w:r>
        <w:rPr>
          <w:rFonts w:ascii="Times New Roman" w:hAnsi="Times New Roman" w:eastAsia="华文中宋"/>
          <w:bCs/>
          <w:sz w:val="22"/>
        </w:rPr>
        <w:t xml:space="preserve">, to </w:t>
      </w:r>
      <w:r>
        <w:rPr>
          <w:rFonts w:hint="eastAsia" w:ascii="Times New Roman" w:hAnsi="Times New Roman" w:eastAsia="华文中宋"/>
          <w:bCs/>
          <w:sz w:val="22"/>
        </w:rPr>
        <w:t>stren</w:t>
      </w:r>
      <w:r>
        <w:rPr>
          <w:rFonts w:ascii="Times New Roman" w:hAnsi="Times New Roman" w:eastAsia="华文中宋"/>
          <w:bCs/>
          <w:sz w:val="22"/>
        </w:rPr>
        <w:t>gthen the risk management of futures trading, safeguard the legitimate interests of the futures market participants and guarantee the futures trading activities on or through the Shanghai Futures Exchange, or the Exchange.</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
          <w:sz w:val="22"/>
        </w:rPr>
        <w:t>Article 2</w:t>
      </w:r>
      <w:r>
        <w:rPr>
          <w:rFonts w:ascii="Times New Roman" w:hAnsi="Times New Roman" w:eastAsia="华文中宋"/>
          <w:bCs/>
          <w:sz w:val="22"/>
        </w:rPr>
        <w:tab/>
      </w:r>
      <w:r>
        <w:rPr>
          <w:rFonts w:ascii="Times New Roman" w:hAnsi="Times New Roman" w:eastAsia="华文中宋"/>
          <w:bCs/>
          <w:sz w:val="22"/>
        </w:rPr>
        <w:t xml:space="preserve">The risk management regimes adopted by the Exchange include the Margin Requirement, the Price Limit, the </w:t>
      </w:r>
      <w:r>
        <w:rPr>
          <w:rFonts w:ascii="Times New Roman" w:hAnsi="Times New Roman" w:eastAsia="方正仿宋简体"/>
          <w:sz w:val="22"/>
        </w:rPr>
        <w:t xml:space="preserve">Position Limit, the Trading Limit, </w:t>
      </w:r>
      <w:r>
        <w:rPr>
          <w:rFonts w:ascii="Times New Roman" w:hAnsi="Times New Roman" w:eastAsia="华文中宋"/>
          <w:bCs/>
          <w:sz w:val="22"/>
        </w:rPr>
        <w:t>the Large Trader Reporting, the Forced Position Liquidation, and the Risk Warning, etc</w:t>
      </w:r>
      <w:r>
        <w:rPr>
          <w:rFonts w:hint="eastAsia" w:ascii="Times New Roman" w:hAnsi="Times New Roman" w:eastAsia="华文中宋"/>
          <w:bCs/>
          <w:sz w:val="22"/>
        </w:rPr>
        <w:t>.</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
          <w:sz w:val="22"/>
        </w:rPr>
        <w:t>Article 3</w:t>
      </w:r>
      <w:r>
        <w:rPr>
          <w:rFonts w:ascii="Times New Roman" w:hAnsi="Times New Roman" w:eastAsia="华文中宋"/>
          <w:b/>
          <w:sz w:val="22"/>
        </w:rPr>
        <w:tab/>
      </w:r>
      <w:r>
        <w:rPr>
          <w:rFonts w:ascii="Times New Roman" w:hAnsi="Times New Roman" w:eastAsia="华文中宋"/>
          <w:bCs/>
          <w:sz w:val="22"/>
        </w:rPr>
        <w:t xml:space="preserve">These </w:t>
      </w:r>
      <w:r>
        <w:rPr>
          <w:rFonts w:ascii="Times New Roman" w:hAnsi="Times New Roman" w:eastAsia="华文中宋"/>
          <w:bCs/>
          <w:i/>
          <w:iCs/>
          <w:sz w:val="22"/>
        </w:rPr>
        <w:t>Risk Management Rules</w:t>
      </w:r>
      <w:r>
        <w:rPr>
          <w:rFonts w:ascii="Times New Roman" w:hAnsi="Times New Roman" w:eastAsia="华文中宋"/>
          <w:bCs/>
          <w:sz w:val="22"/>
        </w:rPr>
        <w:t xml:space="preserve"> are binding on the Exchange, Members, and Clients. </w:t>
      </w:r>
    </w:p>
    <w:p>
      <w:pPr>
        <w:tabs>
          <w:tab w:val="left" w:pos="1276"/>
        </w:tabs>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Chapter 2</w:t>
      </w:r>
      <w:r>
        <w:rPr>
          <w:rFonts w:ascii="Times New Roman" w:hAnsi="Times New Roman" w:eastAsia="华文中宋"/>
          <w:b/>
          <w:sz w:val="22"/>
        </w:rPr>
        <w:tab/>
      </w:r>
      <w:r>
        <w:rPr>
          <w:rFonts w:ascii="Times New Roman" w:hAnsi="Times New Roman" w:eastAsia="华文中宋"/>
          <w:b/>
          <w:sz w:val="22"/>
        </w:rPr>
        <w:t>MARGIN REQUIREMENT</w:t>
      </w:r>
    </w:p>
    <w:p>
      <w:pPr>
        <w:tabs>
          <w:tab w:val="left" w:pos="1276"/>
        </w:tabs>
        <w:adjustRightInd w:val="0"/>
        <w:snapToGrid w:val="0"/>
        <w:spacing w:after="312" w:afterLines="100" w:line="276" w:lineRule="auto"/>
        <w:jc w:val="left"/>
        <w:rPr>
          <w:rFonts w:ascii="Times New Roman" w:hAnsi="Times New Roman"/>
          <w:dstrike/>
          <w:sz w:val="22"/>
        </w:rPr>
      </w:pPr>
      <w:r>
        <w:rPr>
          <w:rFonts w:ascii="Times New Roman" w:hAnsi="Times New Roman" w:eastAsia="华文中宋"/>
          <w:b/>
          <w:sz w:val="22"/>
        </w:rPr>
        <w:t>Article 4</w:t>
      </w:r>
      <w:r>
        <w:rPr>
          <w:rFonts w:ascii="Times New Roman" w:hAnsi="Times New Roman" w:eastAsia="华文中宋"/>
          <w:b/>
          <w:sz w:val="22"/>
        </w:rPr>
        <w:tab/>
      </w:r>
      <w:r>
        <w:rPr>
          <w:rFonts w:ascii="Times New Roman" w:hAnsi="Times New Roman"/>
          <w:sz w:val="22"/>
        </w:rPr>
        <w:t>The Exchange applies a minimum trading margin</w:t>
      </w:r>
      <w:r>
        <w:rPr>
          <w:rFonts w:hint="eastAsia" w:ascii="Times New Roman" w:hAnsi="Times New Roman"/>
          <w:bCs/>
          <w:sz w:val="22"/>
        </w:rPr>
        <w:t>.</w:t>
      </w:r>
    </w:p>
    <w:p>
      <w:pPr>
        <w:widowControl/>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When the following events or conditions occur in the process of trading a futures contract, the Exchange may, at its sole discretion, adjust the trading margin of a contract:</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(1)</w:t>
      </w:r>
      <w:r>
        <w:rPr>
          <w:rFonts w:ascii="Times New Roman" w:hAnsi="Times New Roman" w:eastAsia="华文中宋"/>
          <w:bCs/>
          <w:sz w:val="22"/>
        </w:rPr>
        <w:tab/>
      </w:r>
      <w:r>
        <w:rPr>
          <w:rFonts w:ascii="Times New Roman" w:hAnsi="Times New Roman" w:eastAsia="华文中宋"/>
          <w:bCs/>
          <w:sz w:val="22"/>
        </w:rPr>
        <w:t xml:space="preserve">the open interest reaches a fixed level;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(2)</w:t>
      </w:r>
      <w:r>
        <w:rPr>
          <w:rFonts w:ascii="Times New Roman" w:hAnsi="Times New Roman" w:eastAsia="华文中宋"/>
          <w:bCs/>
          <w:sz w:val="22"/>
        </w:rPr>
        <w:tab/>
      </w:r>
      <w:r>
        <w:rPr>
          <w:rFonts w:ascii="Times New Roman" w:hAnsi="Times New Roman" w:eastAsia="华文中宋"/>
          <w:bCs/>
          <w:sz w:val="22"/>
        </w:rPr>
        <w:t xml:space="preserve">the delivery period approaches;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(3)</w:t>
      </w:r>
      <w:r>
        <w:rPr>
          <w:rFonts w:ascii="Times New Roman" w:hAnsi="Times New Roman" w:eastAsia="华文中宋"/>
          <w:bCs/>
          <w:sz w:val="22"/>
        </w:rPr>
        <w:tab/>
      </w:r>
      <w:r>
        <w:rPr>
          <w:rFonts w:ascii="Times New Roman" w:hAnsi="Times New Roman" w:eastAsia="华文中宋"/>
          <w:bCs/>
          <w:sz w:val="22"/>
        </w:rPr>
        <w:t>the price variation of a contract amounts to a certain rate after a consecutive number of trading days;</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(4)</w:t>
      </w:r>
      <w:r>
        <w:rPr>
          <w:rFonts w:ascii="Times New Roman" w:hAnsi="Times New Roman" w:eastAsia="华文中宋"/>
          <w:bCs/>
          <w:sz w:val="22"/>
        </w:rPr>
        <w:tab/>
      </w:r>
      <w:r>
        <w:rPr>
          <w:rFonts w:ascii="Times New Roman" w:hAnsi="Times New Roman" w:eastAsia="华文中宋"/>
          <w:bCs/>
          <w:sz w:val="22"/>
        </w:rPr>
        <w:t>a futures contract reaches the Price Limit for consecutive trading days</w:t>
      </w:r>
      <w:r>
        <w:rPr>
          <w:rFonts w:hint="eastAsia" w:ascii="Times New Roman" w:hAnsi="Times New Roman" w:eastAsia="华文中宋"/>
          <w:bCs/>
          <w:sz w:val="22"/>
        </w:rPr>
        <w:t>;</w:t>
      </w:r>
      <w:r>
        <w:rPr>
          <w:rFonts w:ascii="Times New Roman" w:hAnsi="Times New Roman" w:eastAsia="华文中宋"/>
          <w:bCs/>
          <w:sz w:val="22"/>
        </w:rPr>
        <w:t xml:space="preserve">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(5)</w:t>
      </w:r>
      <w:r>
        <w:rPr>
          <w:rFonts w:ascii="Times New Roman" w:hAnsi="Times New Roman" w:eastAsia="华文中宋"/>
          <w:bCs/>
          <w:sz w:val="22"/>
        </w:rPr>
        <w:tab/>
      </w:r>
      <w:r>
        <w:rPr>
          <w:rFonts w:ascii="Times New Roman" w:hAnsi="Times New Roman" w:eastAsia="华文中宋"/>
          <w:bCs/>
          <w:sz w:val="22"/>
        </w:rPr>
        <w:t xml:space="preserve">a long public holiday is approaching;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(6)</w:t>
      </w:r>
      <w:r>
        <w:rPr>
          <w:rFonts w:ascii="Times New Roman" w:hAnsi="Times New Roman" w:eastAsia="华文中宋"/>
          <w:bCs/>
          <w:sz w:val="22"/>
        </w:rPr>
        <w:tab/>
      </w:r>
      <w:r>
        <w:rPr>
          <w:rFonts w:ascii="Times New Roman" w:hAnsi="Times New Roman" w:eastAsia="华文中宋"/>
          <w:bCs/>
          <w:sz w:val="22"/>
        </w:rPr>
        <w:t xml:space="preserve">the Exchange, </w:t>
      </w:r>
      <w:r>
        <w:rPr>
          <w:rFonts w:hint="eastAsia" w:ascii="Times New Roman" w:hAnsi="Times New Roman" w:eastAsia="华文中宋"/>
          <w:bCs/>
          <w:sz w:val="22"/>
        </w:rPr>
        <w:t>at</w:t>
      </w:r>
      <w:r>
        <w:rPr>
          <w:rFonts w:ascii="Times New Roman" w:hAnsi="Times New Roman" w:eastAsia="华文中宋"/>
          <w:bCs/>
          <w:sz w:val="22"/>
        </w:rPr>
        <w:t xml:space="preserve"> its discretion, decides that the risk of the market is increasing; and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(7)</w:t>
      </w:r>
      <w:r>
        <w:rPr>
          <w:rFonts w:ascii="Times New Roman" w:hAnsi="Times New Roman" w:eastAsia="华文中宋"/>
          <w:bCs/>
          <w:sz w:val="22"/>
        </w:rPr>
        <w:tab/>
      </w:r>
      <w:r>
        <w:rPr>
          <w:rFonts w:ascii="Times New Roman" w:hAnsi="Times New Roman" w:eastAsia="华文中宋"/>
          <w:bCs/>
          <w:sz w:val="22"/>
        </w:rPr>
        <w:t>other events or conditions the Exchange deems necessary to adjust the trading margin of a contract.</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The Exchange shall make a public announcement and report to the CSRC of its decision to adjust the trading margin.</w:t>
      </w:r>
    </w:p>
    <w:p>
      <w:pPr>
        <w:tabs>
          <w:tab w:val="left" w:pos="1276"/>
        </w:tabs>
        <w:adjustRightInd w:val="0"/>
        <w:snapToGrid w:val="0"/>
        <w:spacing w:after="312" w:afterLines="100" w:line="276" w:lineRule="auto"/>
        <w:jc w:val="left"/>
        <w:rPr>
          <w:rFonts w:ascii="Times New Roman" w:hAnsi="Times New Roman" w:eastAsia="华文中宋"/>
          <w:bCs/>
          <w:dstrike/>
          <w:sz w:val="22"/>
        </w:rPr>
      </w:pPr>
      <w:r>
        <w:rPr>
          <w:rFonts w:ascii="Times New Roman" w:hAnsi="Times New Roman" w:eastAsia="华文中宋"/>
          <w:b/>
          <w:sz w:val="22"/>
        </w:rPr>
        <w:t>Article 5</w:t>
      </w:r>
      <w:r>
        <w:rPr>
          <w:rFonts w:ascii="Times New Roman" w:hAnsi="Times New Roman" w:eastAsia="华文中宋"/>
          <w:b/>
          <w:sz w:val="22"/>
        </w:rPr>
        <w:tab/>
      </w:r>
      <w:r>
        <w:rPr>
          <w:rFonts w:ascii="Times New Roman" w:hAnsi="Times New Roman" w:eastAsia="华文中宋"/>
          <w:bCs/>
          <w:sz w:val="22"/>
        </w:rPr>
        <w:t>The Exchange applies different rates of trading margin for a futures contract based on the stage of its lifecycle (i.e., from the listing day to the last trading day)</w:t>
      </w:r>
      <w:r>
        <w:rPr>
          <w:rFonts w:hint="eastAsia" w:ascii="Times New Roman" w:hAnsi="Times New Roman" w:eastAsia="华文中宋"/>
          <w:sz w:val="22"/>
        </w:rPr>
        <w:t>. Specific rates are governed by the rules for the particular futures products.</w:t>
      </w:r>
    </w:p>
    <w:p>
      <w:pPr>
        <w:tabs>
          <w:tab w:val="left" w:pos="1276"/>
        </w:tabs>
        <w:adjustRightInd w:val="0"/>
        <w:snapToGrid w:val="0"/>
        <w:spacing w:before="312" w:beforeLines="100" w:after="312" w:afterLines="100" w:line="276" w:lineRule="auto"/>
        <w:jc w:val="left"/>
        <w:rPr>
          <w:rFonts w:ascii="Times New Roman" w:hAnsi="Times New Roman" w:eastAsia="华文中宋"/>
          <w:bCs/>
          <w:sz w:val="22"/>
        </w:rPr>
      </w:pPr>
      <w:r>
        <w:rPr>
          <w:rFonts w:ascii="Times New Roman" w:hAnsi="Times New Roman" w:eastAsia="华文中宋"/>
          <w:bCs/>
          <w:sz w:val="22"/>
        </w:rPr>
        <w:t>When a futures contract approaches a stage of trading that requires a trading margin adjustment, the Exchange shall, at daily clearing on the trading day prior to the day that such adjustment shall take effect, settle existing positions at the new rate of trading margin. Anyone with insufficient margin balance shall deposit additional funds to meet the Margin Requirement by market-open of the next trading day.</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During the delivery month, a seller may post standard warrants as a performance security for the corresponding size of open positions in the delivery month, in which case the trading Margin Requirement for those positions will be waived.</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The following is an example of the period of trading of the futures contract, Cu0305, from its listing to its last trading day:</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period of trading of Cu0305 is from May 16, 2002 to May 15,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date of listing is May 16, 2002;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last trading day is May 15,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trading day prior to the last trading day is May 14,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second trading day prior to the last trading day is May 13,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delivery month is May,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month prior to the delivery month is April,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second month prior to the delivery month is March, 2003;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hint="eastAsia" w:ascii="Times New Roman" w:hAnsi="Times New Roman" w:eastAsia="华文中宋"/>
          <w:bCs/>
          <w:sz w:val="22"/>
        </w:rPr>
        <w:t>T</w:t>
      </w:r>
      <w:r>
        <w:rPr>
          <w:rFonts w:ascii="Times New Roman" w:hAnsi="Times New Roman" w:eastAsia="华文中宋"/>
          <w:bCs/>
          <w:sz w:val="22"/>
        </w:rPr>
        <w:t>he third month prior to the delivery month is February, 2003.</w:t>
      </w:r>
    </w:p>
    <w:p>
      <w:pPr>
        <w:tabs>
          <w:tab w:val="left" w:pos="1276"/>
        </w:tabs>
        <w:adjustRightInd w:val="0"/>
        <w:snapToGrid w:val="0"/>
        <w:spacing w:after="312" w:afterLines="100" w:line="276" w:lineRule="auto"/>
        <w:jc w:val="left"/>
        <w:rPr>
          <w:rFonts w:hint="eastAsia" w:ascii="Times New Roman" w:hAnsi="Times New Roman" w:eastAsia="华文中宋"/>
          <w:bCs/>
          <w:sz w:val="22"/>
          <w:lang w:eastAsia="zh-CN"/>
        </w:rPr>
      </w:pPr>
      <w:r>
        <w:rPr>
          <w:rFonts w:hint="eastAsia" w:ascii="Times New Roman" w:hAnsi="Times New Roman" w:eastAsia="华文中宋"/>
          <w:bCs/>
          <w:sz w:val="22"/>
          <w:lang w:eastAsia="zh-CN"/>
        </w:rPr>
        <w:drawing>
          <wp:inline distT="0" distB="0" distL="114300" distR="114300">
            <wp:extent cx="5727700" cy="2168525"/>
            <wp:effectExtent l="0" t="0" r="6350" b="3175"/>
            <wp:docPr id="43" name="图片 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1"/>
                    <pic:cNvPicPr>
                      <a:picLocks noChangeAspect="1"/>
                    </pic:cNvPicPr>
                  </pic:nvPicPr>
                  <pic:blipFill>
                    <a:blip r:embed="rId5"/>
                    <a:stretch>
                      <a:fillRect/>
                    </a:stretch>
                  </pic:blipFill>
                  <pic:spPr>
                    <a:xfrm>
                      <a:off x="0" y="0"/>
                      <a:ext cx="5727700" cy="2168525"/>
                    </a:xfrm>
                    <a:prstGeom prst="rect">
                      <a:avLst/>
                    </a:prstGeom>
                  </pic:spPr>
                </pic:pic>
              </a:graphicData>
            </a:graphic>
          </wp:inline>
        </w:drawing>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chronology provided in this Article 5(2) which exemplifies the period of trading of a futures contract will be used in these </w:t>
      </w:r>
      <w:r>
        <w:rPr>
          <w:rFonts w:ascii="Times New Roman" w:hAnsi="Times New Roman" w:eastAsia="华文中宋"/>
          <w:bCs/>
          <w:i/>
          <w:iCs/>
          <w:sz w:val="22"/>
        </w:rPr>
        <w:t>Risk Management Rules</w:t>
      </w:r>
      <w:r>
        <w:rPr>
          <w:rFonts w:ascii="Times New Roman" w:hAnsi="Times New Roman" w:eastAsia="华文中宋"/>
          <w:bCs/>
          <w:sz w:val="22"/>
        </w:rPr>
        <w:t>.</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
          <w:sz w:val="22"/>
        </w:rPr>
        <w:t>Article 6</w:t>
      </w:r>
      <w:r>
        <w:rPr>
          <w:rFonts w:ascii="Times New Roman" w:hAnsi="Times New Roman" w:eastAsia="华文中宋"/>
          <w:bCs/>
          <w:sz w:val="22"/>
        </w:rPr>
        <w:tab/>
      </w:r>
      <w:r>
        <w:rPr>
          <w:rFonts w:ascii="Times New Roman" w:hAnsi="Times New Roman" w:eastAsia="华文中宋"/>
          <w:bCs/>
          <w:sz w:val="22"/>
        </w:rPr>
        <w:t xml:space="preserve">In the event that trading in a futures contract reaches a Price Limit, the Margin Requirements set forth in Chapter 3 of these </w:t>
      </w:r>
      <w:r>
        <w:rPr>
          <w:rFonts w:ascii="Times New Roman" w:hAnsi="Times New Roman" w:eastAsia="华文中宋"/>
          <w:bCs/>
          <w:i/>
          <w:iCs/>
          <w:sz w:val="22"/>
        </w:rPr>
        <w:t>Risk Management Rules</w:t>
      </w:r>
      <w:r>
        <w:rPr>
          <w:rFonts w:ascii="Times New Roman" w:hAnsi="Times New Roman" w:eastAsia="华文中宋"/>
          <w:bCs/>
          <w:sz w:val="22"/>
        </w:rPr>
        <w:t xml:space="preserve"> shall apply.</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
          <w:sz w:val="22"/>
        </w:rPr>
        <w:t>Article 7</w:t>
      </w:r>
      <w:r>
        <w:rPr>
          <w:rFonts w:ascii="Times New Roman" w:hAnsi="Times New Roman" w:eastAsia="华文中宋"/>
          <w:b/>
          <w:sz w:val="22"/>
        </w:rPr>
        <w:tab/>
      </w:r>
      <w:r>
        <w:rPr>
          <w:rFonts w:ascii="Times New Roman" w:hAnsi="Times New Roman" w:eastAsia="华文中宋"/>
          <w:bCs/>
          <w:sz w:val="22"/>
        </w:rPr>
        <w:t xml:space="preserve">For </w:t>
      </w:r>
      <w:r>
        <w:rPr>
          <w:rFonts w:hint="eastAsia" w:ascii="Times New Roman" w:hAnsi="Times New Roman" w:eastAsia="华文中宋"/>
          <w:sz w:val="22"/>
        </w:rPr>
        <w:t xml:space="preserve">a </w:t>
      </w:r>
      <w:r>
        <w:rPr>
          <w:rFonts w:ascii="Times New Roman" w:hAnsi="Times New Roman" w:eastAsia="华文中宋"/>
          <w:bCs/>
          <w:sz w:val="22"/>
        </w:rPr>
        <w:t xml:space="preserve">futures contract: </w:t>
      </w:r>
    </w:p>
    <w:p>
      <w:pPr>
        <w:tabs>
          <w:tab w:val="left" w:pos="1276"/>
        </w:tabs>
        <w:adjustRightInd w:val="0"/>
        <w:snapToGrid w:val="0"/>
        <w:spacing w:after="312" w:afterLines="100" w:line="276" w:lineRule="auto"/>
        <w:jc w:val="left"/>
        <w:rPr>
          <w:rFonts w:ascii="Times New Roman" w:hAnsi="Times New Roman" w:eastAsia="华文中宋"/>
          <w:bCs/>
          <w:sz w:val="22"/>
        </w:rPr>
      </w:pP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(a)</w:t>
      </w:r>
      <w:r>
        <w:rPr>
          <w:rFonts w:ascii="Times New Roman" w:hAnsi="Times New Roman" w:eastAsia="华文中宋"/>
          <w:bCs/>
          <w:sz w:val="22"/>
        </w:rPr>
        <w:tab/>
      </w:r>
      <w:r>
        <w:rPr>
          <w:rFonts w:ascii="Times New Roman" w:hAnsi="Times New Roman" w:eastAsia="华文中宋"/>
          <w:bCs/>
          <w:sz w:val="22"/>
        </w:rPr>
        <w:t xml:space="preserve">when the price variation in aggregate (denoted as N) reaches </w:t>
      </w:r>
      <w:r>
        <w:rPr>
          <w:rFonts w:hint="eastAsia" w:ascii="Times New Roman" w:hAnsi="Times New Roman" w:eastAsia="华文中宋"/>
          <w:sz w:val="22"/>
        </w:rPr>
        <w:t xml:space="preserve">1.5 times the normal </w:t>
      </w:r>
      <w:r>
        <w:rPr>
          <w:rFonts w:ascii="Times New Roman" w:hAnsi="Times New Roman" w:eastAsia="华文中宋"/>
          <w:sz w:val="22"/>
        </w:rPr>
        <w:t>Price Limit</w:t>
      </w:r>
      <w:r>
        <w:rPr>
          <w:rFonts w:hint="eastAsia" w:ascii="Times New Roman" w:hAnsi="Times New Roman" w:eastAsia="华文中宋"/>
          <w:sz w:val="22"/>
        </w:rPr>
        <w:t xml:space="preserve"> of the contract </w:t>
      </w:r>
      <w:r>
        <w:rPr>
          <w:rFonts w:hint="eastAsia" w:ascii="Times New Roman" w:hAnsi="Times New Roman" w:eastAsia="华文中宋"/>
          <w:bCs/>
          <w:sz w:val="22"/>
        </w:rPr>
        <w:t>for</w:t>
      </w:r>
      <w:r>
        <w:rPr>
          <w:rFonts w:ascii="Times New Roman" w:hAnsi="Times New Roman" w:eastAsia="华文中宋"/>
          <w:bCs/>
          <w:sz w:val="22"/>
        </w:rPr>
        <w:t xml:space="preserve"> three (3) consecutive trading days (denoted as D1-D3) or</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(b)</w:t>
      </w:r>
      <w:r>
        <w:rPr>
          <w:rFonts w:ascii="Times New Roman" w:hAnsi="Times New Roman" w:eastAsia="华文中宋"/>
          <w:bCs/>
          <w:sz w:val="22"/>
        </w:rPr>
        <w:tab/>
      </w:r>
      <w:r>
        <w:rPr>
          <w:rFonts w:ascii="Times New Roman" w:hAnsi="Times New Roman" w:eastAsia="华文中宋"/>
          <w:bCs/>
          <w:sz w:val="22"/>
        </w:rPr>
        <w:t xml:space="preserve">when the price variation in aggregate (denoted as N) reaches </w:t>
      </w:r>
      <w:r>
        <w:rPr>
          <w:rFonts w:hint="eastAsia" w:ascii="Times New Roman" w:hAnsi="Times New Roman" w:eastAsia="华文中宋"/>
          <w:sz w:val="22"/>
        </w:rPr>
        <w:t xml:space="preserve">2 times the normal </w:t>
      </w:r>
      <w:r>
        <w:rPr>
          <w:rFonts w:ascii="Times New Roman" w:hAnsi="Times New Roman" w:eastAsia="华文中宋"/>
          <w:sz w:val="22"/>
        </w:rPr>
        <w:t xml:space="preserve">Price Limit </w:t>
      </w:r>
      <w:r>
        <w:rPr>
          <w:rFonts w:hint="eastAsia" w:ascii="Times New Roman" w:hAnsi="Times New Roman" w:eastAsia="华文中宋"/>
          <w:sz w:val="22"/>
        </w:rPr>
        <w:t>of the contract</w:t>
      </w:r>
      <w:r>
        <w:rPr>
          <w:rFonts w:ascii="Times New Roman" w:hAnsi="Times New Roman" w:eastAsia="华文中宋"/>
          <w:bCs/>
          <w:sz w:val="22"/>
        </w:rPr>
        <w:t xml:space="preserve"> for four (4) consecutive trading days (denoted as D1-D4) or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(c)</w:t>
      </w:r>
      <w:r>
        <w:rPr>
          <w:rFonts w:ascii="Times New Roman" w:hAnsi="Times New Roman" w:eastAsia="华文中宋"/>
          <w:bCs/>
          <w:sz w:val="22"/>
        </w:rPr>
        <w:tab/>
      </w:r>
      <w:r>
        <w:rPr>
          <w:rFonts w:ascii="Times New Roman" w:hAnsi="Times New Roman" w:eastAsia="华文中宋"/>
          <w:bCs/>
          <w:sz w:val="22"/>
        </w:rPr>
        <w:t>when the price variation in aggregate (denoted as N) reaches</w:t>
      </w:r>
      <w:r>
        <w:rPr>
          <w:rFonts w:hint="eastAsia" w:ascii="Times New Roman" w:hAnsi="Times New Roman" w:eastAsia="华文中宋"/>
          <w:bCs/>
          <w:sz w:val="22"/>
        </w:rPr>
        <w:t xml:space="preserve"> </w:t>
      </w:r>
      <w:r>
        <w:rPr>
          <w:rFonts w:hint="eastAsia" w:ascii="Times New Roman" w:hAnsi="Times New Roman" w:eastAsia="华文中宋"/>
          <w:sz w:val="22"/>
        </w:rPr>
        <w:t xml:space="preserve">2.5 times the normal </w:t>
      </w:r>
      <w:r>
        <w:rPr>
          <w:rFonts w:ascii="Times New Roman" w:hAnsi="Times New Roman" w:eastAsia="华文中宋"/>
          <w:sz w:val="22"/>
        </w:rPr>
        <w:t>Price Limit</w:t>
      </w:r>
      <w:r>
        <w:rPr>
          <w:rFonts w:hint="eastAsia" w:ascii="Times New Roman" w:hAnsi="Times New Roman" w:eastAsia="华文中宋"/>
          <w:sz w:val="22"/>
        </w:rPr>
        <w:t xml:space="preserve"> of the contract</w:t>
      </w:r>
      <w:r>
        <w:rPr>
          <w:rFonts w:ascii="Times New Roman" w:hAnsi="Times New Roman" w:eastAsia="华文中宋"/>
          <w:bCs/>
          <w:sz w:val="22"/>
        </w:rPr>
        <w:t xml:space="preserve"> for five (5) consecutive trading days (denoted as D1-D5), </w:t>
      </w:r>
    </w:p>
    <w:p>
      <w:pPr>
        <w:tabs>
          <w:tab w:val="left" w:pos="1276"/>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 xml:space="preserve">The Exchange may, at its sole discretion, exercise the following measures: </w:t>
      </w:r>
    </w:p>
    <w:p>
      <w:pPr>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t>
      </w:r>
      <w:r>
        <w:rPr>
          <w:rFonts w:hint="eastAsia" w:ascii="Times New Roman" w:hAnsi="Times New Roman" w:eastAsia="华文中宋"/>
          <w:bCs/>
          <w:sz w:val="22"/>
        </w:rPr>
        <w:t>i</w:t>
      </w:r>
      <w:r>
        <w:rPr>
          <w:rFonts w:ascii="Times New Roman" w:hAnsi="Times New Roman" w:eastAsia="华文中宋"/>
          <w:bCs/>
          <w:sz w:val="22"/>
        </w:rPr>
        <w:t>)</w:t>
      </w:r>
      <w:r>
        <w:rPr>
          <w:rFonts w:ascii="Times New Roman" w:hAnsi="Times New Roman" w:eastAsia="华文中宋"/>
          <w:bCs/>
          <w:sz w:val="22"/>
        </w:rPr>
        <w:tab/>
      </w:r>
      <w:r>
        <w:rPr>
          <w:rFonts w:ascii="Times New Roman" w:hAnsi="Times New Roman" w:eastAsia="华文中宋"/>
          <w:bCs/>
          <w:sz w:val="22"/>
        </w:rPr>
        <w:t>require additional trading margins fr</w:t>
      </w:r>
      <w:bookmarkStart w:id="0" w:name="_GoBack"/>
      <w:bookmarkEnd w:id="0"/>
      <w:r>
        <w:rPr>
          <w:rFonts w:ascii="Times New Roman" w:hAnsi="Times New Roman" w:eastAsia="华文中宋"/>
          <w:bCs/>
          <w:sz w:val="22"/>
        </w:rPr>
        <w:t xml:space="preserve">om the longs or shorts, or from both the longs and shorts, and/or, at the same or different rates, and/or from a part of or all the Members; </w:t>
      </w:r>
    </w:p>
    <w:p>
      <w:pPr>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t>
      </w:r>
      <w:r>
        <w:rPr>
          <w:rFonts w:hint="eastAsia" w:ascii="Times New Roman" w:hAnsi="Times New Roman" w:eastAsia="华文中宋"/>
          <w:bCs/>
          <w:sz w:val="22"/>
        </w:rPr>
        <w:t>ii</w:t>
      </w:r>
      <w:r>
        <w:rPr>
          <w:rFonts w:ascii="Times New Roman" w:hAnsi="Times New Roman" w:eastAsia="华文中宋"/>
          <w:bCs/>
          <w:sz w:val="22"/>
        </w:rPr>
        <w:t>)</w:t>
      </w:r>
      <w:r>
        <w:rPr>
          <w:rFonts w:ascii="Times New Roman" w:hAnsi="Times New Roman" w:eastAsia="华文中宋"/>
          <w:bCs/>
          <w:sz w:val="22"/>
        </w:rPr>
        <w:tab/>
      </w:r>
      <w:r>
        <w:rPr>
          <w:rFonts w:ascii="Times New Roman" w:hAnsi="Times New Roman" w:eastAsia="华文中宋"/>
          <w:bCs/>
          <w:sz w:val="22"/>
        </w:rPr>
        <w:t>limit the withdrawal of funds by a part of or all the Members;</w:t>
      </w:r>
    </w:p>
    <w:p>
      <w:pPr>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t>
      </w:r>
      <w:r>
        <w:rPr>
          <w:rFonts w:hint="eastAsia" w:ascii="Times New Roman" w:hAnsi="Times New Roman" w:eastAsia="华文中宋"/>
          <w:bCs/>
          <w:sz w:val="22"/>
        </w:rPr>
        <w:t>iii</w:t>
      </w:r>
      <w:r>
        <w:rPr>
          <w:rFonts w:ascii="Times New Roman" w:hAnsi="Times New Roman" w:eastAsia="华文中宋"/>
          <w:bCs/>
          <w:sz w:val="22"/>
        </w:rPr>
        <w:t>)</w:t>
      </w:r>
      <w:r>
        <w:rPr>
          <w:rFonts w:ascii="Times New Roman" w:hAnsi="Times New Roman" w:eastAsia="华文中宋"/>
          <w:bCs/>
          <w:sz w:val="22"/>
        </w:rPr>
        <w:tab/>
      </w:r>
      <w:r>
        <w:rPr>
          <w:rFonts w:ascii="Times New Roman" w:hAnsi="Times New Roman" w:eastAsia="华文中宋"/>
          <w:bCs/>
          <w:sz w:val="22"/>
        </w:rPr>
        <w:t>suspend the opening of new positions by a part of or all of the Members;</w:t>
      </w:r>
    </w:p>
    <w:p>
      <w:pPr>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t>
      </w:r>
      <w:r>
        <w:rPr>
          <w:rFonts w:hint="eastAsia" w:ascii="Times New Roman" w:hAnsi="Times New Roman" w:eastAsia="华文中宋"/>
          <w:bCs/>
          <w:sz w:val="22"/>
        </w:rPr>
        <w:t>iv</w:t>
      </w:r>
      <w:r>
        <w:rPr>
          <w:rFonts w:ascii="Times New Roman" w:hAnsi="Times New Roman" w:eastAsia="华文中宋"/>
          <w:bCs/>
          <w:sz w:val="22"/>
        </w:rPr>
        <w:t>)</w:t>
      </w:r>
      <w:r>
        <w:rPr>
          <w:rFonts w:ascii="Times New Roman" w:hAnsi="Times New Roman" w:eastAsia="华文中宋"/>
          <w:bCs/>
          <w:sz w:val="22"/>
        </w:rPr>
        <w:tab/>
      </w:r>
      <w:r>
        <w:rPr>
          <w:rFonts w:ascii="Times New Roman" w:hAnsi="Times New Roman" w:eastAsia="华文中宋"/>
          <w:bCs/>
          <w:sz w:val="22"/>
        </w:rPr>
        <w:t>adjust the Price Limit, but not to be over twenty percent (20%)</w:t>
      </w:r>
      <w:r>
        <w:rPr>
          <w:rFonts w:ascii="Times New Roman" w:hAnsi="Times New Roman" w:eastAsia="方正仿宋简体"/>
          <w:bCs/>
          <w:sz w:val="22"/>
        </w:rPr>
        <w:t xml:space="preserve"> up or down</w:t>
      </w:r>
      <w:r>
        <w:rPr>
          <w:rFonts w:ascii="Times New Roman" w:hAnsi="Times New Roman" w:eastAsia="华文中宋"/>
          <w:bCs/>
          <w:sz w:val="22"/>
        </w:rPr>
        <w:t xml:space="preserve">; </w:t>
      </w:r>
    </w:p>
    <w:p>
      <w:pPr>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t>
      </w:r>
      <w:r>
        <w:rPr>
          <w:rFonts w:hint="eastAsia" w:ascii="Times New Roman" w:hAnsi="Times New Roman" w:eastAsia="华文中宋"/>
          <w:bCs/>
          <w:sz w:val="22"/>
        </w:rPr>
        <w:t>v</w:t>
      </w:r>
      <w:r>
        <w:rPr>
          <w:rFonts w:ascii="Times New Roman" w:hAnsi="Times New Roman" w:eastAsia="华文中宋"/>
          <w:bCs/>
          <w:sz w:val="22"/>
        </w:rPr>
        <w:t>)</w:t>
      </w:r>
      <w:r>
        <w:rPr>
          <w:rFonts w:ascii="Times New Roman" w:hAnsi="Times New Roman" w:eastAsia="华文中宋"/>
          <w:bCs/>
          <w:sz w:val="22"/>
        </w:rPr>
        <w:tab/>
      </w:r>
      <w:r>
        <w:rPr>
          <w:rFonts w:ascii="Times New Roman" w:hAnsi="Times New Roman" w:eastAsia="华文中宋"/>
          <w:bCs/>
          <w:sz w:val="22"/>
        </w:rPr>
        <w:t xml:space="preserve">order the liquidation of positions by a prescribed deadline; or </w:t>
      </w:r>
    </w:p>
    <w:p>
      <w:pPr>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w:t>
      </w:r>
      <w:r>
        <w:rPr>
          <w:rFonts w:hint="eastAsia" w:ascii="Times New Roman" w:hAnsi="Times New Roman" w:eastAsia="华文中宋"/>
          <w:bCs/>
          <w:sz w:val="22"/>
        </w:rPr>
        <w:t>vi</w:t>
      </w:r>
      <w:r>
        <w:rPr>
          <w:rFonts w:ascii="Times New Roman" w:hAnsi="Times New Roman" w:eastAsia="华文中宋"/>
          <w:bCs/>
          <w:sz w:val="22"/>
        </w:rPr>
        <w:t>)</w:t>
      </w:r>
      <w:r>
        <w:rPr>
          <w:rFonts w:ascii="Times New Roman" w:hAnsi="Times New Roman" w:eastAsia="华文中宋"/>
          <w:bCs/>
          <w:sz w:val="22"/>
        </w:rPr>
        <w:tab/>
      </w:r>
      <w:r>
        <w:rPr>
          <w:rFonts w:ascii="Times New Roman" w:hAnsi="Times New Roman" w:eastAsia="华文中宋"/>
          <w:bCs/>
          <w:sz w:val="22"/>
        </w:rPr>
        <w:t>exercise Forced Position Liquidation.</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 xml:space="preserve">N is calculated using the following formula: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仿宋"/>
          <w:kern w:val="0"/>
          <w:position w:val="-12"/>
          <w:sz w:val="22"/>
        </w:rPr>
        <w:drawing>
          <wp:inline distT="0" distB="0" distL="0" distR="0">
            <wp:extent cx="3419475" cy="361950"/>
            <wp:effectExtent l="0" t="0" r="0" b="0"/>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noChangeArrowheads="1"/>
                    </pic:cNvPicPr>
                  </pic:nvPicPr>
                  <pic:blipFill>
                    <a:blip r:embed="rId6" cstate="print"/>
                    <a:srcRect/>
                    <a:stretch>
                      <a:fillRect/>
                    </a:stretch>
                  </pic:blipFill>
                  <pic:spPr>
                    <a:xfrm>
                      <a:off x="0" y="0"/>
                      <a:ext cx="3419475" cy="361950"/>
                    </a:xfrm>
                    <a:prstGeom prst="rect">
                      <a:avLst/>
                    </a:prstGeom>
                    <a:noFill/>
                    <a:ln w="9525">
                      <a:noFill/>
                      <a:miter lim="800000"/>
                      <a:headEnd/>
                      <a:tailEnd/>
                    </a:ln>
                  </pic:spPr>
                </pic:pic>
              </a:graphicData>
            </a:graphic>
          </wp:inline>
        </w:drawing>
      </w:r>
      <w:r>
        <w:rPr>
          <w:rFonts w:ascii="Times New Roman" w:hAnsi="Times New Roman" w:eastAsia="方正仿宋简体"/>
          <w:bCs/>
          <w:sz w:val="22"/>
        </w:rPr>
        <w:t>t = 3,4,5</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P</w:t>
      </w:r>
      <w:r>
        <w:rPr>
          <w:rFonts w:ascii="Times New Roman" w:hAnsi="Times New Roman" w:eastAsia="方正仿宋简体"/>
          <w:bCs/>
          <w:sz w:val="22"/>
          <w:vertAlign w:val="subscript"/>
        </w:rPr>
        <w:t>0</w:t>
      </w:r>
      <w:r>
        <w:rPr>
          <w:rFonts w:ascii="Times New Roman" w:hAnsi="Times New Roman" w:eastAsia="方正仿宋简体"/>
          <w:bCs/>
          <w:sz w:val="22"/>
        </w:rPr>
        <w:t xml:space="preserve"> is the settlement price of the trading day prior to D</w:t>
      </w:r>
      <w:r>
        <w:rPr>
          <w:rFonts w:ascii="Times New Roman" w:hAnsi="Times New Roman" w:eastAsia="方正仿宋简体"/>
          <w:bCs/>
          <w:sz w:val="22"/>
          <w:vertAlign w:val="subscript"/>
        </w:rPr>
        <w:t>1</w:t>
      </w:r>
      <w:r>
        <w:rPr>
          <w:rFonts w:ascii="Times New Roman" w:hAnsi="Times New Roman" w:eastAsia="方正仿宋简体"/>
          <w:bCs/>
          <w:sz w:val="22"/>
        </w:rPr>
        <w:t xml:space="preserve">;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P</w:t>
      </w:r>
      <w:r>
        <w:rPr>
          <w:rFonts w:ascii="Times New Roman" w:hAnsi="Times New Roman" w:eastAsia="方正仿宋简体"/>
          <w:bCs/>
          <w:sz w:val="22"/>
          <w:vertAlign w:val="subscript"/>
        </w:rPr>
        <w:t>t</w:t>
      </w:r>
      <w:r>
        <w:rPr>
          <w:rFonts w:ascii="Times New Roman" w:hAnsi="Times New Roman" w:eastAsia="方正仿宋简体"/>
          <w:bCs/>
          <w:sz w:val="22"/>
        </w:rPr>
        <w:t xml:space="preserve"> is the settlement price of the trading day “t” and t=3, 4, 5;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P</w:t>
      </w:r>
      <w:r>
        <w:rPr>
          <w:rFonts w:ascii="Times New Roman" w:hAnsi="Times New Roman" w:eastAsia="方正仿宋简体"/>
          <w:bCs/>
          <w:sz w:val="22"/>
          <w:vertAlign w:val="subscript"/>
        </w:rPr>
        <w:t>3</w:t>
      </w:r>
      <w:r>
        <w:rPr>
          <w:rFonts w:ascii="Times New Roman" w:hAnsi="Times New Roman" w:eastAsia="方正仿宋简体"/>
          <w:bCs/>
          <w:sz w:val="22"/>
        </w:rPr>
        <w:t xml:space="preserve"> is the settlement price of D</w:t>
      </w:r>
      <w:r>
        <w:rPr>
          <w:rFonts w:ascii="Times New Roman" w:hAnsi="Times New Roman" w:eastAsia="方正仿宋简体"/>
          <w:bCs/>
          <w:sz w:val="22"/>
          <w:vertAlign w:val="subscript"/>
        </w:rPr>
        <w:t>3</w:t>
      </w:r>
      <w:r>
        <w:rPr>
          <w:rFonts w:ascii="Times New Roman" w:hAnsi="Times New Roman" w:eastAsia="方正仿宋简体"/>
          <w:bCs/>
          <w:sz w:val="22"/>
        </w:rPr>
        <w:t xml:space="preserve">;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P</w:t>
      </w:r>
      <w:r>
        <w:rPr>
          <w:rFonts w:ascii="Times New Roman" w:hAnsi="Times New Roman" w:eastAsia="方正仿宋简体"/>
          <w:bCs/>
          <w:sz w:val="22"/>
          <w:vertAlign w:val="subscript"/>
        </w:rPr>
        <w:t>4</w:t>
      </w:r>
      <w:r>
        <w:rPr>
          <w:rFonts w:ascii="Times New Roman" w:hAnsi="Times New Roman" w:eastAsia="方正仿宋简体"/>
          <w:bCs/>
          <w:sz w:val="22"/>
        </w:rPr>
        <w:t xml:space="preserve"> is the settlement price of D</w:t>
      </w:r>
      <w:r>
        <w:rPr>
          <w:rFonts w:ascii="Times New Roman" w:hAnsi="Times New Roman" w:eastAsia="方正仿宋简体"/>
          <w:bCs/>
          <w:sz w:val="22"/>
          <w:vertAlign w:val="subscript"/>
        </w:rPr>
        <w:t>4</w:t>
      </w:r>
      <w:r>
        <w:rPr>
          <w:rFonts w:ascii="Times New Roman" w:hAnsi="Times New Roman" w:eastAsia="方正仿宋简体"/>
          <w:bCs/>
          <w:sz w:val="22"/>
        </w:rPr>
        <w:t xml:space="preserve">;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P</w:t>
      </w:r>
      <w:r>
        <w:rPr>
          <w:rFonts w:ascii="Times New Roman" w:hAnsi="Times New Roman" w:eastAsia="方正仿宋简体"/>
          <w:bCs/>
          <w:sz w:val="22"/>
          <w:vertAlign w:val="subscript"/>
        </w:rPr>
        <w:t>5</w:t>
      </w:r>
      <w:r>
        <w:rPr>
          <w:rFonts w:ascii="Times New Roman" w:hAnsi="Times New Roman" w:eastAsia="方正仿宋简体"/>
          <w:bCs/>
          <w:sz w:val="22"/>
        </w:rPr>
        <w:t xml:space="preserve"> is the settlement price of D</w:t>
      </w:r>
      <w:r>
        <w:rPr>
          <w:rFonts w:ascii="Times New Roman" w:hAnsi="Times New Roman" w:eastAsia="方正仿宋简体"/>
          <w:bCs/>
          <w:sz w:val="22"/>
          <w:vertAlign w:val="subscript"/>
        </w:rPr>
        <w:t>5</w:t>
      </w:r>
      <w:r>
        <w:rPr>
          <w:rFonts w:ascii="Times New Roman" w:hAnsi="Times New Roman" w:eastAsia="方正仿宋简体"/>
          <w:bCs/>
          <w:sz w:val="22"/>
        </w:rPr>
        <w:t xml:space="preserve">.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The Exchange shall report to the China Securities Regulatory Commission (CSRC) before taking any action as provided in this Article 7.</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8</w:t>
      </w:r>
      <w:r>
        <w:rPr>
          <w:rFonts w:ascii="Times New Roman" w:hAnsi="Times New Roman" w:eastAsia="方正仿宋简体"/>
          <w:b/>
          <w:sz w:val="22"/>
        </w:rPr>
        <w:tab/>
      </w:r>
      <w:r>
        <w:rPr>
          <w:rFonts w:ascii="Times New Roman" w:hAnsi="Times New Roman" w:eastAsia="方正仿宋简体"/>
          <w:bCs/>
          <w:sz w:val="22"/>
        </w:rPr>
        <w:t>In the event that two or more trading margins are applicable as prescribed in this Chapter 2, the higher or the highest shall be applied as the trading margin.</w:t>
      </w:r>
    </w:p>
    <w:p>
      <w:pPr>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Chapter 3</w:t>
      </w:r>
      <w:r>
        <w:rPr>
          <w:rFonts w:ascii="Times New Roman" w:hAnsi="Times New Roman" w:eastAsia="华文中宋"/>
          <w:b/>
          <w:sz w:val="22"/>
        </w:rPr>
        <w:tab/>
      </w:r>
      <w:r>
        <w:rPr>
          <w:rFonts w:ascii="Times New Roman" w:hAnsi="Times New Roman" w:eastAsia="华文中宋"/>
          <w:b/>
          <w:sz w:val="22"/>
        </w:rPr>
        <w:t>PRICE LIMIT</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9</w:t>
      </w:r>
      <w:r>
        <w:rPr>
          <w:rFonts w:ascii="Times New Roman" w:hAnsi="Times New Roman" w:eastAsia="方正仿宋简体"/>
          <w:b/>
          <w:sz w:val="22"/>
        </w:rPr>
        <w:tab/>
      </w:r>
      <w:r>
        <w:rPr>
          <w:rFonts w:ascii="Times New Roman" w:hAnsi="Times New Roman" w:eastAsia="方正仿宋简体"/>
          <w:bCs/>
          <w:sz w:val="22"/>
        </w:rPr>
        <w:t>The Exchange applies the Price Limit which sets the maximum price variation for each futures contract during a trading day.</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The Exchange will, at its sole discretion, adjust the Price Limit of a futures contract when any of the following events or conditions occurs: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 xml:space="preserve">the same direction limit-locked market exists in the trading of a futures contract;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华文中宋"/>
          <w:bCs/>
          <w:sz w:val="22"/>
        </w:rPr>
        <w:t xml:space="preserve">a long public holiday is approaching;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(3)</w:t>
      </w:r>
      <w:r>
        <w:rPr>
          <w:rFonts w:ascii="Times New Roman" w:hAnsi="Times New Roman" w:eastAsia="华文中宋"/>
          <w:bCs/>
          <w:sz w:val="22"/>
        </w:rPr>
        <w:tab/>
      </w:r>
      <w:r>
        <w:rPr>
          <w:rFonts w:ascii="Times New Roman" w:hAnsi="Times New Roman" w:eastAsia="华文中宋"/>
          <w:bCs/>
          <w:sz w:val="22"/>
        </w:rPr>
        <w:t xml:space="preserve">the Exchange, at its discretion, decides that the risk of the market is increasing; and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华文中宋"/>
          <w:bCs/>
          <w:sz w:val="22"/>
        </w:rPr>
        <w:t>(4)</w:t>
      </w:r>
      <w:r>
        <w:rPr>
          <w:rFonts w:ascii="Times New Roman" w:hAnsi="Times New Roman" w:eastAsia="华文中宋"/>
          <w:bCs/>
          <w:sz w:val="22"/>
        </w:rPr>
        <w:tab/>
      </w:r>
      <w:r>
        <w:rPr>
          <w:rFonts w:ascii="Times New Roman" w:hAnsi="Times New Roman" w:eastAsia="华文中宋"/>
          <w:bCs/>
          <w:sz w:val="22"/>
        </w:rPr>
        <w:t xml:space="preserve">other </w:t>
      </w:r>
      <w:r>
        <w:rPr>
          <w:rFonts w:ascii="Times New Roman" w:hAnsi="Times New Roman" w:eastAsia="方正仿宋简体"/>
          <w:bCs/>
          <w:sz w:val="22"/>
        </w:rPr>
        <w:t>events or conditions the Exchange deems necessary to adjust the Price Limit.</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The Exchange shall make a public announcement and report to the CSRC of its decision to adjust the Price Limit.</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If two or more limit prices are applicable as prescribed in this Chapter 3, the higher or the highest shall be applied as the Price Limit. </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10</w:t>
      </w:r>
      <w:r>
        <w:rPr>
          <w:rFonts w:ascii="Times New Roman" w:hAnsi="Times New Roman" w:eastAsia="方正仿宋简体"/>
          <w:bCs/>
          <w:sz w:val="22"/>
        </w:rPr>
        <w:tab/>
      </w:r>
      <w:r>
        <w:rPr>
          <w:rFonts w:ascii="Times New Roman" w:hAnsi="Times New Roman" w:eastAsia="方正仿宋简体"/>
          <w:bCs/>
          <w:sz w:val="22"/>
        </w:rPr>
        <w:t>When a futures contract hits the Price Limit, trades shall be matched with priority given to the bids or the asks which facilitate the close-out of the open interest, except for new positions opened on the current day, and based on the time priority rule.</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11</w:t>
      </w:r>
      <w:r>
        <w:rPr>
          <w:rFonts w:ascii="Times New Roman" w:hAnsi="Times New Roman" w:eastAsia="方正仿宋简体"/>
          <w:b/>
          <w:sz w:val="22"/>
        </w:rPr>
        <w:tab/>
      </w:r>
      <w:r>
        <w:rPr>
          <w:rFonts w:ascii="Times New Roman" w:hAnsi="Times New Roman" w:eastAsia="方正仿宋简体"/>
          <w:bCs/>
          <w:sz w:val="22"/>
        </w:rPr>
        <w:t xml:space="preserve">The term “limit-locked market” means the situation in which within the five (5) minutes prior to the close of a trading day, there are only bids (asks) but no asks (bids) at the limit price, or any asks (bids) are instantly filled while the limit price still exists, with the current price equaling the limit price.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The term “same direction limit-locked market” means the situation in which the limit-locked market exists for two (2) consecutive trading days. The term “reverse direction limit-locked market” means the situation in which on the trading day following a limit-locked market, the limit-locked market goes to the opposite direction.</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12</w:t>
      </w:r>
      <w:r>
        <w:rPr>
          <w:rFonts w:ascii="Times New Roman" w:hAnsi="Times New Roman" w:eastAsia="方正仿宋简体"/>
          <w:bCs/>
          <w:sz w:val="22"/>
        </w:rPr>
        <w:tab/>
      </w:r>
      <w:r>
        <w:rPr>
          <w:rFonts w:ascii="Times New Roman" w:hAnsi="Times New Roman" w:eastAsia="方正仿宋简体"/>
          <w:bCs/>
          <w:sz w:val="22"/>
        </w:rPr>
        <w:t>In the event that a limit-locked market occurs to a futures contract on a trading day (denoted as D1 whereas the previous trading day is D0 and the successive five (5) trading days are D2-D6), the Price Limit and trading margin of the contract for D2 shall be adjusted as follows: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the Price Limit shall be increased by three percent (3%) on top of that for D1; and</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the trading margin shall be increased by two percent (2%) on top of the Price Limit for D2. If the trading margin as adjusted is smaller than what is applied on D0 to the daily clearing, the same trading margin as applied on D0 will be used as the trading margin for that contract.</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If D1 is the first trading day for a newly listed contract, the contract’s trading margin for D1 shall be used as the trading margin applied to the daily clearing of D0.</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13</w:t>
      </w:r>
      <w:r>
        <w:rPr>
          <w:rFonts w:ascii="Times New Roman" w:hAnsi="Times New Roman" w:eastAsia="方正仿宋简体"/>
          <w:b/>
          <w:sz w:val="22"/>
        </w:rPr>
        <w:tab/>
      </w:r>
      <w:r>
        <w:rPr>
          <w:rFonts w:ascii="Times New Roman" w:hAnsi="Times New Roman" w:eastAsia="方正仿宋简体"/>
          <w:bCs/>
          <w:sz w:val="22"/>
        </w:rPr>
        <w:t>If a limit-locked market does not occur on D2 for a futures contract set forth in Article 12 of</w:t>
      </w:r>
      <w:r>
        <w:t xml:space="preserve"> </w:t>
      </w:r>
      <w:r>
        <w:rPr>
          <w:rFonts w:ascii="Times New Roman" w:hAnsi="Times New Roman" w:eastAsia="方正仿宋简体"/>
          <w:bCs/>
          <w:sz w:val="22"/>
        </w:rPr>
        <w:t xml:space="preserve">these </w:t>
      </w:r>
      <w:r>
        <w:rPr>
          <w:rFonts w:ascii="Times New Roman" w:hAnsi="Times New Roman" w:eastAsia="方正仿宋简体"/>
          <w:bCs/>
          <w:i/>
          <w:iCs/>
          <w:sz w:val="22"/>
        </w:rPr>
        <w:t>Risk Management Rules</w:t>
      </w:r>
      <w:r>
        <w:rPr>
          <w:rFonts w:ascii="Times New Roman" w:hAnsi="Times New Roman" w:eastAsia="方正仿宋简体"/>
          <w:bCs/>
          <w:sz w:val="22"/>
        </w:rPr>
        <w:t>, the Price Limit and trading margin for D3 will return to the regular level.</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The occurrence of a reverse direction limit-locked market on D2 shall trigger a new round of a limit-locked market, i.e. D2 shall become D1 for the new round of limit-locked market, and the margin rate and the Price Limit for the following trading day shall be set pursuant to the Article 12 of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If the same direction limit-locked market exists on D2, the Price Limit and trading margin of the contract for D3 shall be adjusted as follows: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the Price Limit shall be increased by five percent (5%) on top of the Price Limit for D1; and</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the trading margin shall be increased by two percent (2%) on top of the Price Limit for D3. If the adjusted trading margin is smaller than what is applied on D0 to the daily clearing, the trading margin on D0 will be applied to meet the Margin Requirements for that contract. </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14</w:t>
      </w:r>
      <w:r>
        <w:rPr>
          <w:rFonts w:ascii="Times New Roman" w:hAnsi="Times New Roman" w:eastAsia="方正仿宋简体"/>
          <w:bCs/>
          <w:sz w:val="22"/>
        </w:rPr>
        <w:tab/>
      </w:r>
      <w:r>
        <w:rPr>
          <w:rFonts w:ascii="Times New Roman" w:hAnsi="Times New Roman" w:eastAsia="方正仿宋简体"/>
          <w:bCs/>
          <w:sz w:val="22"/>
        </w:rPr>
        <w:t>If a limit-locked market does not occur on D3 for a futures contract set forth in Article 12 of</w:t>
      </w:r>
      <w:r>
        <w:t xml:space="preserve"> </w:t>
      </w:r>
      <w:r>
        <w:rPr>
          <w:rFonts w:ascii="Times New Roman" w:hAnsi="Times New Roman" w:eastAsia="方正仿宋简体"/>
          <w:bCs/>
          <w:sz w:val="22"/>
        </w:rPr>
        <w:t xml:space="preserve">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the Price Limit and trading margin for D4 will return to the regular level.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The occurrence of a reverse direction limit-locked market on D3 shall trigger a new round of a limit-locked market, i.e. D3 shall be regarded as D1 for the new round of limit-locked market, and the trading margin and the Price Limit for the following trading day shall be set pursuant to the Article 12 of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If a same direction limit-locked market occurs on D3, which means, for three (3) consecutive trading days, the market has been locked in Price Limit, the Exchange may, at the daily clearing, suspend the withdrawal of funds by a part of or all of its Members and take the following measures: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 xml:space="preserve">if D3 is the last trading day of the contract, the contract shall move into its settlement and physical delivery phase on the next trading day;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if D4 is the last trading day, the Price Limit and trading margin for D3 will be extended to D4 and the contract shall move into its settlement and physical delivery phase on the next trading day; or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 xml:space="preserve">if neither D3 nor D4 is the last trading day, the Exchange may, the Exchange may, according to market conditions, take the actions provided in Article 15 or Article 16 of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after the close of D3. </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15</w:t>
      </w:r>
      <w:r>
        <w:rPr>
          <w:rFonts w:ascii="Times New Roman" w:hAnsi="Times New Roman" w:eastAsia="方正仿宋简体"/>
          <w:b/>
          <w:sz w:val="22"/>
        </w:rPr>
        <w:tab/>
      </w:r>
      <w:r>
        <w:rPr>
          <w:rFonts w:ascii="Times New Roman" w:hAnsi="Times New Roman" w:eastAsia="方正仿宋简体"/>
          <w:bCs/>
          <w:sz w:val="22"/>
        </w:rPr>
        <w:t xml:space="preserve">The Exchange may, in accordance with </w:t>
      </w:r>
      <w:r>
        <w:rPr>
          <w:rFonts w:hint="eastAsia" w:ascii="Times New Roman" w:hAnsi="Times New Roman" w:eastAsia="方正仿宋简体"/>
          <w:bCs/>
          <w:sz w:val="22"/>
        </w:rPr>
        <w:t xml:space="preserve">the third paragraph (3) of </w:t>
      </w:r>
      <w:r>
        <w:rPr>
          <w:rFonts w:ascii="Times New Roman" w:hAnsi="Times New Roman" w:eastAsia="方正仿宋简体"/>
          <w:bCs/>
          <w:sz w:val="22"/>
        </w:rPr>
        <w:t xml:space="preserve">Article 14 of these </w:t>
      </w:r>
      <w:r>
        <w:rPr>
          <w:rFonts w:ascii="Times New Roman" w:hAnsi="Times New Roman" w:eastAsia="方正仿宋简体"/>
          <w:bCs/>
          <w:i/>
          <w:iCs/>
          <w:sz w:val="22"/>
        </w:rPr>
        <w:t>Risk Management Rules</w:t>
      </w:r>
      <w:r>
        <w:rPr>
          <w:rFonts w:ascii="Times New Roman" w:hAnsi="Times New Roman" w:eastAsia="方正仿宋简体"/>
          <w:bCs/>
          <w:sz w:val="22"/>
        </w:rPr>
        <w:t>, make a public announcement after the close of D3 that the futures contract will be traded on D4 and take one or more of the following measures: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 xml:space="preserve">adjust the Price Limit, but not to be over twenty percent (20%) up or down;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require additional trading margins from the longs or shorts, or from both the longs and shorts, and/or at the same or different rates, and/or from a part of or all the Members;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suspend the opening of new positions by a part of or all of the Members;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(4)</w:t>
      </w:r>
      <w:r>
        <w:rPr>
          <w:rFonts w:ascii="Times New Roman" w:hAnsi="Times New Roman" w:eastAsia="方正仿宋简体"/>
          <w:bCs/>
          <w:sz w:val="22"/>
        </w:rPr>
        <w:tab/>
      </w:r>
      <w:r>
        <w:rPr>
          <w:rFonts w:ascii="Times New Roman" w:hAnsi="Times New Roman" w:eastAsia="方正仿宋简体"/>
          <w:bCs/>
          <w:sz w:val="22"/>
        </w:rPr>
        <w:t xml:space="preserve">limit the withdrawal of funds;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(5)</w:t>
      </w:r>
      <w:r>
        <w:rPr>
          <w:rFonts w:ascii="Times New Roman" w:hAnsi="Times New Roman" w:eastAsia="方正仿宋简体"/>
          <w:bCs/>
          <w:sz w:val="22"/>
        </w:rPr>
        <w:tab/>
      </w:r>
      <w:r>
        <w:rPr>
          <w:rFonts w:ascii="Times New Roman" w:hAnsi="Times New Roman" w:eastAsia="方正仿宋简体"/>
          <w:bCs/>
          <w:sz w:val="22"/>
        </w:rPr>
        <w:t>order the liquidation of positions by a prescribed deadline;</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(6)</w:t>
      </w:r>
      <w:r>
        <w:rPr>
          <w:rFonts w:ascii="Times New Roman" w:hAnsi="Times New Roman" w:eastAsia="方正仿宋简体"/>
          <w:bCs/>
          <w:sz w:val="22"/>
        </w:rPr>
        <w:tab/>
      </w:r>
      <w:r>
        <w:rPr>
          <w:rFonts w:ascii="Times New Roman" w:hAnsi="Times New Roman" w:eastAsia="方正仿宋简体"/>
          <w:bCs/>
          <w:sz w:val="22"/>
        </w:rPr>
        <w:t xml:space="preserve">exercise Forced Position Liquidation; and/or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(7)</w:t>
      </w:r>
      <w:r>
        <w:rPr>
          <w:rFonts w:ascii="Times New Roman" w:hAnsi="Times New Roman" w:eastAsia="方正仿宋简体"/>
          <w:bCs/>
          <w:sz w:val="22"/>
        </w:rPr>
        <w:tab/>
      </w:r>
      <w:r>
        <w:rPr>
          <w:rFonts w:ascii="Times New Roman" w:hAnsi="Times New Roman" w:eastAsia="方正仿宋简体"/>
          <w:bCs/>
          <w:sz w:val="22"/>
        </w:rPr>
        <w:t xml:space="preserve">take other actions that the Exchange deems necessary.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If the Exchange takes any of the above measures, the futures contract under Article 12 of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shall be traded on D5 as follows: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if a limit-locked market does not occur on D4, the Price Limit and trading margin for D5 will return to their regular level;</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the occurrence of a reverse direction limit-locked market on D4 shall trigger a new round of a limit-locked market, i.e. D4 shall be regarded as D1 for the new round of limit-locked market, and the trading margin and the Price Limit for the following trading day shall be set pursuant to the Article 12 of these </w:t>
      </w:r>
      <w:r>
        <w:rPr>
          <w:rFonts w:ascii="Times New Roman" w:hAnsi="Times New Roman" w:eastAsia="方正仿宋简体"/>
          <w:bCs/>
          <w:i/>
          <w:iCs/>
          <w:sz w:val="22"/>
        </w:rPr>
        <w:t>Risk Management Rules</w:t>
      </w:r>
      <w:r>
        <w:rPr>
          <w:rFonts w:ascii="Times New Roman" w:hAnsi="Times New Roman" w:eastAsia="方正仿宋简体"/>
          <w:bCs/>
          <w:sz w:val="22"/>
        </w:rPr>
        <w:t>; and</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if the same direction limit-locked market occurs on D4, the Exchange</w:t>
      </w:r>
      <w:r>
        <w:rPr>
          <w:rFonts w:hint="eastAsia" w:ascii="Times New Roman" w:hAnsi="Times New Roman" w:eastAsia="方正仿宋简体"/>
          <w:bCs/>
          <w:sz w:val="22"/>
        </w:rPr>
        <w:t xml:space="preserve"> may</w:t>
      </w:r>
      <w:r>
        <w:rPr>
          <w:rFonts w:ascii="Times New Roman" w:hAnsi="Times New Roman" w:eastAsia="方正仿宋简体"/>
          <w:bCs/>
          <w:sz w:val="22"/>
        </w:rPr>
        <w:t xml:space="preserve"> declare it as an abnormal condition and </w:t>
      </w:r>
      <w:r>
        <w:rPr>
          <w:rFonts w:hint="eastAsia" w:ascii="Times New Roman" w:hAnsi="Times New Roman" w:eastAsia="方正仿宋简体"/>
          <w:bCs/>
          <w:sz w:val="22"/>
        </w:rPr>
        <w:t>take</w:t>
      </w:r>
      <w:r>
        <w:rPr>
          <w:rFonts w:ascii="Times New Roman" w:hAnsi="Times New Roman" w:eastAsia="方正仿宋简体"/>
          <w:bCs/>
          <w:sz w:val="22"/>
        </w:rPr>
        <w:t xml:space="preserve"> risk management measures as provided in the applicable rules.</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16</w:t>
      </w:r>
      <w:r>
        <w:rPr>
          <w:rFonts w:ascii="Times New Roman" w:hAnsi="Times New Roman" w:eastAsia="方正仿宋简体"/>
          <w:b/>
          <w:sz w:val="22"/>
        </w:rPr>
        <w:tab/>
      </w:r>
      <w:r>
        <w:rPr>
          <w:rFonts w:ascii="Times New Roman" w:hAnsi="Times New Roman" w:eastAsia="方正仿宋简体"/>
          <w:bCs/>
          <w:sz w:val="22"/>
        </w:rPr>
        <w:t>The Exchange may, in accordance with</w:t>
      </w:r>
      <w:r>
        <w:rPr>
          <w:rFonts w:hint="eastAsia" w:ascii="Times New Roman" w:hAnsi="Times New Roman" w:eastAsia="方正仿宋简体"/>
          <w:bCs/>
          <w:sz w:val="22"/>
        </w:rPr>
        <w:t xml:space="preserve"> the third paragraph (3) of</w:t>
      </w:r>
      <w:r>
        <w:rPr>
          <w:rFonts w:ascii="Times New Roman" w:hAnsi="Times New Roman" w:eastAsia="方正仿宋简体"/>
          <w:bCs/>
          <w:sz w:val="22"/>
        </w:rPr>
        <w:t xml:space="preserve"> Article 14</w:t>
      </w:r>
      <w:r>
        <w:rPr>
          <w:rFonts w:hint="eastAsia" w:ascii="Times New Roman" w:hAnsi="Times New Roman" w:eastAsia="方正仿宋简体"/>
          <w:bCs/>
          <w:sz w:val="22"/>
        </w:rPr>
        <w:t xml:space="preserve"> </w:t>
      </w:r>
      <w:r>
        <w:rPr>
          <w:rFonts w:ascii="Times New Roman" w:hAnsi="Times New Roman" w:eastAsia="方正仿宋简体"/>
          <w:bCs/>
          <w:sz w:val="22"/>
        </w:rPr>
        <w:t xml:space="preserve">of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make a public announcement after the close of D3 that the futures contract will be suspended from trading on D4, </w:t>
      </w:r>
      <w:r>
        <w:rPr>
          <w:rFonts w:hint="eastAsia" w:ascii="Times New Roman" w:hAnsi="Times New Roman" w:eastAsia="方正仿宋简体"/>
          <w:sz w:val="22"/>
        </w:rPr>
        <w:t xml:space="preserve">and </w:t>
      </w:r>
      <w:r>
        <w:rPr>
          <w:rFonts w:ascii="Times New Roman" w:hAnsi="Times New Roman" w:eastAsia="方正仿宋简体"/>
          <w:bCs/>
          <w:sz w:val="22"/>
        </w:rPr>
        <w:t>further announce</w:t>
      </w:r>
      <w:r>
        <w:rPr>
          <w:rFonts w:hint="eastAsia" w:ascii="Times New Roman" w:hAnsi="Times New Roman" w:eastAsia="方正仿宋简体"/>
          <w:sz w:val="22"/>
        </w:rPr>
        <w:t xml:space="preserve"> on D4 or after the close of D4</w:t>
      </w:r>
      <w:r>
        <w:rPr>
          <w:rFonts w:ascii="Times New Roman" w:hAnsi="Times New Roman" w:eastAsia="方正仿宋简体"/>
          <w:bCs/>
          <w:sz w:val="22"/>
        </w:rPr>
        <w:t xml:space="preserve"> that it will take any actions under Article 17 </w:t>
      </w:r>
      <w:r>
        <w:rPr>
          <w:rFonts w:hint="eastAsia" w:ascii="Times New Roman" w:hAnsi="Times New Roman" w:eastAsia="方正仿宋简体"/>
          <w:bCs/>
          <w:sz w:val="22"/>
        </w:rPr>
        <w:t xml:space="preserve">or Article 18 </w:t>
      </w:r>
      <w:r>
        <w:rPr>
          <w:rFonts w:ascii="Times New Roman" w:hAnsi="Times New Roman" w:eastAsia="方正仿宋简体"/>
          <w:bCs/>
          <w:sz w:val="22"/>
        </w:rPr>
        <w:t xml:space="preserve">of these </w:t>
      </w:r>
      <w:r>
        <w:rPr>
          <w:rFonts w:ascii="Times New Roman" w:hAnsi="Times New Roman" w:eastAsia="方正仿宋简体"/>
          <w:bCs/>
          <w:i/>
          <w:iCs/>
          <w:sz w:val="22"/>
        </w:rPr>
        <w:t>Risk Management Rules</w:t>
      </w:r>
      <w:r>
        <w:rPr>
          <w:rFonts w:hint="eastAsia" w:ascii="Times New Roman" w:hAnsi="Times New Roman" w:eastAsia="方正仿宋简体"/>
          <w:bCs/>
          <w:i/>
          <w:iCs/>
          <w:sz w:val="22"/>
        </w:rPr>
        <w:t xml:space="preserve"> </w:t>
      </w:r>
      <w:r>
        <w:rPr>
          <w:rFonts w:hint="eastAsia" w:ascii="Times New Roman" w:hAnsi="Times New Roman" w:eastAsia="方正仿宋简体"/>
          <w:sz w:val="22"/>
        </w:rPr>
        <w:t>based on market conditions</w:t>
      </w:r>
      <w:r>
        <w:rPr>
          <w:rFonts w:ascii="Times New Roman" w:hAnsi="Times New Roman" w:eastAsia="方正仿宋简体"/>
          <w:bCs/>
          <w:sz w:val="22"/>
        </w:rPr>
        <w:t>.</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17</w:t>
      </w:r>
      <w:r>
        <w:rPr>
          <w:rFonts w:ascii="Times New Roman" w:hAnsi="Times New Roman" w:eastAsia="方正仿宋简体"/>
          <w:b/>
          <w:sz w:val="22"/>
        </w:rPr>
        <w:tab/>
      </w:r>
      <w:r>
        <w:rPr>
          <w:rFonts w:ascii="Times New Roman" w:hAnsi="Times New Roman" w:eastAsia="方正仿宋简体"/>
          <w:bCs/>
          <w:sz w:val="22"/>
        </w:rPr>
        <w:t>The Exchange may, in accordance with Article 16 of these</w:t>
      </w:r>
      <w:r>
        <w:rPr>
          <w:rFonts w:ascii="Times New Roman" w:hAnsi="Times New Roman" w:eastAsia="方正仿宋简体"/>
          <w:bCs/>
          <w:i/>
          <w:iCs/>
          <w:sz w:val="22"/>
        </w:rPr>
        <w:t xml:space="preserve"> Risk Management Rules</w:t>
      </w:r>
      <w:r>
        <w:rPr>
          <w:rFonts w:ascii="Times New Roman" w:hAnsi="Times New Roman" w:eastAsia="方正仿宋简体"/>
          <w:bCs/>
          <w:sz w:val="22"/>
        </w:rPr>
        <w:t xml:space="preserve">, decide that a futures contract under Article 12 of these </w:t>
      </w:r>
      <w:r>
        <w:rPr>
          <w:rFonts w:ascii="Times New Roman" w:hAnsi="Times New Roman" w:eastAsia="方正仿宋简体"/>
          <w:bCs/>
          <w:i/>
          <w:iCs/>
          <w:sz w:val="22"/>
        </w:rPr>
        <w:t>Risk Management Rule</w:t>
      </w:r>
      <w:r>
        <w:rPr>
          <w:rFonts w:ascii="Times New Roman" w:hAnsi="Times New Roman" w:eastAsia="方正仿宋简体"/>
          <w:bCs/>
          <w:sz w:val="22"/>
        </w:rPr>
        <w:t xml:space="preserve"> shall be traded on D5 and take one or more of the following actions: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 xml:space="preserve">adjust the Price Limit, </w:t>
      </w:r>
      <w:r>
        <w:rPr>
          <w:rFonts w:ascii="Times New Roman" w:hAnsi="Times New Roman" w:eastAsia="华文中宋"/>
          <w:bCs/>
          <w:sz w:val="22"/>
        </w:rPr>
        <w:t>but not to be over twenty percent (20%)</w:t>
      </w:r>
      <w:r>
        <w:rPr>
          <w:rFonts w:ascii="Times New Roman" w:hAnsi="Times New Roman" w:eastAsia="方正仿宋简体"/>
          <w:bCs/>
          <w:sz w:val="22"/>
        </w:rPr>
        <w:t xml:space="preserve"> up or down;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require additional trading margins from the longs or shorts, or from both the longs and shorts, and/or at the same or different rates, and/or from a part of or all the Members</w:t>
      </w:r>
      <w:r>
        <w:rPr>
          <w:rFonts w:ascii="Times New Roman" w:hAnsi="Times New Roman" w:eastAsia="华文中宋"/>
          <w:bCs/>
          <w:sz w:val="22"/>
        </w:rPr>
        <w:t xml:space="preserve">; </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(3)</w:t>
      </w:r>
      <w:r>
        <w:rPr>
          <w:rFonts w:ascii="Times New Roman" w:hAnsi="Times New Roman" w:eastAsia="华文中宋"/>
          <w:bCs/>
          <w:sz w:val="22"/>
        </w:rPr>
        <w:tab/>
      </w:r>
      <w:r>
        <w:rPr>
          <w:rFonts w:ascii="Times New Roman" w:hAnsi="Times New Roman" w:eastAsia="华文中宋"/>
          <w:bCs/>
          <w:sz w:val="22"/>
        </w:rPr>
        <w:t>suspend the opening of new positions by a part of or all of the Members;</w:t>
      </w:r>
    </w:p>
    <w:p>
      <w:pPr>
        <w:widowControl/>
        <w:tabs>
          <w:tab w:val="left" w:pos="709"/>
        </w:tabs>
        <w:adjustRightInd w:val="0"/>
        <w:snapToGrid w:val="0"/>
        <w:spacing w:after="312" w:afterLines="100" w:line="276" w:lineRule="auto"/>
        <w:jc w:val="left"/>
        <w:rPr>
          <w:rFonts w:ascii="Times New Roman" w:hAnsi="Times New Roman" w:eastAsia="华文中宋"/>
          <w:bCs/>
          <w:sz w:val="22"/>
        </w:rPr>
      </w:pPr>
      <w:r>
        <w:rPr>
          <w:rFonts w:ascii="Times New Roman" w:hAnsi="Times New Roman" w:eastAsia="华文中宋"/>
          <w:bCs/>
          <w:sz w:val="22"/>
        </w:rPr>
        <w:t>(4)</w:t>
      </w:r>
      <w:r>
        <w:rPr>
          <w:rFonts w:ascii="Times New Roman" w:hAnsi="Times New Roman" w:eastAsia="华文中宋"/>
          <w:bCs/>
          <w:sz w:val="22"/>
        </w:rPr>
        <w:tab/>
      </w:r>
      <w:r>
        <w:rPr>
          <w:rFonts w:ascii="Times New Roman" w:hAnsi="Times New Roman" w:eastAsia="华文中宋"/>
          <w:bCs/>
          <w:sz w:val="22"/>
        </w:rPr>
        <w:t xml:space="preserve">limit the withdrawal of funds;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华文中宋"/>
          <w:bCs/>
          <w:sz w:val="22"/>
        </w:rPr>
        <w:t>(5)</w:t>
      </w:r>
      <w:r>
        <w:rPr>
          <w:rFonts w:ascii="Times New Roman" w:hAnsi="Times New Roman" w:eastAsia="华文中宋"/>
          <w:bCs/>
          <w:sz w:val="22"/>
        </w:rPr>
        <w:tab/>
      </w:r>
      <w:r>
        <w:rPr>
          <w:rFonts w:ascii="Times New Roman" w:hAnsi="Times New Roman" w:eastAsia="华文中宋"/>
          <w:bCs/>
          <w:sz w:val="22"/>
        </w:rPr>
        <w:t>orde</w:t>
      </w:r>
      <w:r>
        <w:rPr>
          <w:rFonts w:ascii="Times New Roman" w:hAnsi="Times New Roman" w:eastAsia="方正仿宋简体"/>
          <w:bCs/>
          <w:sz w:val="22"/>
        </w:rPr>
        <w:t>r the liquidation of positions by a prescribed deadline;</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(6)</w:t>
      </w:r>
      <w:r>
        <w:rPr>
          <w:rFonts w:ascii="Times New Roman" w:hAnsi="Times New Roman" w:eastAsia="方正仿宋简体"/>
          <w:bCs/>
          <w:sz w:val="22"/>
        </w:rPr>
        <w:tab/>
      </w:r>
      <w:r>
        <w:rPr>
          <w:rFonts w:ascii="Times New Roman" w:hAnsi="Times New Roman" w:eastAsia="方正仿宋简体"/>
          <w:bCs/>
          <w:sz w:val="22"/>
        </w:rPr>
        <w:t xml:space="preserve">exercise Forced Position Liquidation; and/or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hint="eastAsia" w:ascii="Times New Roman" w:hAnsi="Times New Roman" w:eastAsia="方正仿宋简体"/>
          <w:bCs/>
          <w:sz w:val="22"/>
        </w:rPr>
        <w:t>(</w:t>
      </w:r>
      <w:r>
        <w:rPr>
          <w:rFonts w:ascii="Times New Roman" w:hAnsi="Times New Roman" w:eastAsia="方正仿宋简体"/>
          <w:bCs/>
          <w:sz w:val="22"/>
        </w:rPr>
        <w:t>7)</w:t>
      </w:r>
      <w:r>
        <w:rPr>
          <w:rFonts w:ascii="Times New Roman" w:hAnsi="Times New Roman" w:eastAsia="方正仿宋简体"/>
          <w:bCs/>
          <w:sz w:val="22"/>
        </w:rPr>
        <w:tab/>
      </w:r>
      <w:r>
        <w:rPr>
          <w:rFonts w:ascii="Times New Roman" w:hAnsi="Times New Roman" w:eastAsia="方正仿宋简体"/>
          <w:bCs/>
          <w:sz w:val="22"/>
        </w:rPr>
        <w:t xml:space="preserve">take other actions that the Exchange deems necessary.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hint="eastAsia" w:ascii="Times New Roman" w:hAnsi="Times New Roman" w:eastAsia="方正仿宋简体"/>
          <w:bCs/>
          <w:sz w:val="22"/>
        </w:rPr>
        <w:t>I</w:t>
      </w:r>
      <w:r>
        <w:rPr>
          <w:rFonts w:ascii="Times New Roman" w:hAnsi="Times New Roman" w:eastAsia="方正仿宋简体"/>
          <w:bCs/>
          <w:sz w:val="22"/>
        </w:rPr>
        <w:t xml:space="preserve">f the Exchange takes any of the above measures, the futures contract under Article 12 of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shall be traded on D6 as follows: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if a limit-locked market does not occur on D5, the Price Limit and trading margin for D6 will return to the regular level.</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the occurrence of a reverse direction limit-locked market on D5 shall trigger a new round of a limit-locked market, i.e. D5 shall be regarded as D1 for the new round of limit-locked market, and the trading margin and the Price Limit for the following trading day shall be set pursuant to the Article 12 of these</w:t>
      </w:r>
      <w:r>
        <w:rPr>
          <w:rFonts w:ascii="Times New Roman" w:hAnsi="Times New Roman" w:eastAsia="方正仿宋简体"/>
          <w:bCs/>
          <w:i/>
          <w:iCs/>
          <w:sz w:val="22"/>
        </w:rPr>
        <w:t xml:space="preserve"> Risk Management Rules</w:t>
      </w:r>
      <w:r>
        <w:rPr>
          <w:rFonts w:ascii="Times New Roman" w:hAnsi="Times New Roman" w:eastAsia="方正仿宋简体"/>
          <w:bCs/>
          <w:sz w:val="22"/>
        </w:rPr>
        <w:t>; and</w:t>
      </w:r>
    </w:p>
    <w:p>
      <w:pPr>
        <w:widowControl/>
        <w:tabs>
          <w:tab w:val="left" w:pos="709"/>
        </w:tabs>
        <w:adjustRightInd w:val="0"/>
        <w:snapToGrid w:val="0"/>
        <w:spacing w:after="312" w:afterLines="100" w:line="276" w:lineRule="auto"/>
        <w:jc w:val="left"/>
        <w:rPr>
          <w:rFonts w:ascii="Times New Roman" w:hAnsi="Times New Roman" w:eastAsia="方正仿宋简体"/>
          <w:b/>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 xml:space="preserve">if the same direction limit-locked market occurs on D5, the Exchange </w:t>
      </w:r>
      <w:r>
        <w:rPr>
          <w:rFonts w:hint="eastAsia" w:ascii="Times New Roman" w:hAnsi="Times New Roman" w:eastAsia="方正仿宋简体"/>
          <w:bCs/>
          <w:sz w:val="22"/>
        </w:rPr>
        <w:t>may</w:t>
      </w:r>
      <w:r>
        <w:rPr>
          <w:rFonts w:ascii="Times New Roman" w:hAnsi="Times New Roman" w:eastAsia="方正仿宋简体"/>
          <w:bCs/>
          <w:sz w:val="22"/>
        </w:rPr>
        <w:t xml:space="preserve"> declare it as an abnormal condition and take risk management measures as provided in the applicable rules.</w:t>
      </w:r>
      <w:r>
        <w:rPr>
          <w:rFonts w:ascii="Times New Roman" w:hAnsi="Times New Roman" w:eastAsia="方正仿宋简体"/>
          <w:b/>
          <w:sz w:val="22"/>
        </w:rPr>
        <w:t xml:space="preserve"> </w:t>
      </w:r>
    </w:p>
    <w:p>
      <w:pPr>
        <w:tabs>
          <w:tab w:val="left" w:pos="1276"/>
        </w:tabs>
        <w:adjustRightInd w:val="0"/>
        <w:snapToGrid w:val="0"/>
        <w:spacing w:after="312" w:afterLines="100" w:line="276" w:lineRule="auto"/>
        <w:jc w:val="left"/>
        <w:rPr>
          <w:rFonts w:ascii="Times New Roman" w:hAnsi="Times New Roman" w:eastAsia="方正仿宋简体"/>
          <w:b/>
          <w:sz w:val="22"/>
        </w:rPr>
      </w:pPr>
      <w:r>
        <w:rPr>
          <w:rFonts w:ascii="Times New Roman" w:hAnsi="Times New Roman" w:eastAsia="方正仿宋简体"/>
          <w:b/>
          <w:sz w:val="22"/>
        </w:rPr>
        <w:t>Article 18</w:t>
      </w:r>
      <w:r>
        <w:rPr>
          <w:rFonts w:ascii="Times New Roman" w:hAnsi="Times New Roman" w:eastAsia="方正仿宋简体"/>
          <w:b/>
          <w:sz w:val="22"/>
        </w:rPr>
        <w:tab/>
      </w:r>
      <w:r>
        <w:rPr>
          <w:rFonts w:ascii="Times New Roman" w:hAnsi="Times New Roman" w:eastAsia="方正仿宋简体"/>
          <w:bCs/>
          <w:sz w:val="22"/>
        </w:rPr>
        <w:t>If the Exchange declares an abnormal condition and makes a forced position reduction, it shall specify the base date and the affected contracts. The base date shall be the last trading day on which a limit-locked market occurs and the forced position reduction is performed.</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When performing a forced position reduction, the Exchange shall automatically match all unfilled orders that are placed by the close of the base date at the limit price with the open interests held by each Client, or a non-FF Member, who incurs gains on its or his net positions, on a pro rata basis in the open interest of the contract and at that limit price. If that Client, or the non-FF Member, has both long and short positions, these positions will be matched and settled before being matched with those resting orders. The procedure is as follows: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 xml:space="preserve">Determination of the amount of the unfilled orders subject to the order fill: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w:t>
      </w:r>
      <w:r>
        <w:rPr>
          <w:rFonts w:hint="eastAsia" w:ascii="Times New Roman" w:hAnsi="Times New Roman" w:eastAsia="方正仿宋简体"/>
          <w:bCs/>
          <w:sz w:val="22"/>
        </w:rPr>
        <w:t xml:space="preserve"> </w:t>
      </w:r>
      <w:r>
        <w:rPr>
          <w:rFonts w:hint="eastAsia" w:ascii="Times New Roman" w:hAnsi="Times New Roman" w:eastAsia="方正仿宋简体"/>
          <w:sz w:val="22"/>
        </w:rPr>
        <w:t>R1</w:t>
      </w:r>
      <w:r>
        <w:rPr>
          <w:rFonts w:ascii="Times New Roman" w:hAnsi="Times New Roman" w:eastAsia="方正仿宋简体"/>
          <w:bCs/>
          <w:sz w:val="22"/>
        </w:rPr>
        <w:t xml:space="preserve"> of the settlement price of the base date. The Client unwilling to be subjected to this method may cancel the orders before the close of the market on the base date, to avoid having the orders filled.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Calculation of each Client’s average gains or losses on net positions </w:t>
      </w:r>
    </w:p>
    <w:p>
      <w:pPr>
        <w:adjustRightInd w:val="0"/>
        <w:snapToGrid w:val="0"/>
        <w:spacing w:after="312" w:afterLines="100" w:line="276" w:lineRule="auto"/>
        <w:jc w:val="left"/>
        <w:rPr>
          <w:rFonts w:ascii="Times New Roman" w:hAnsi="Times New Roman" w:eastAsia="仿宋"/>
          <w:bCs/>
          <w:sz w:val="22"/>
        </w:rPr>
      </w:pPr>
      <w:r>
        <w:rPr>
          <w:rFonts w:ascii="Times New Roman" w:hAnsi="Times New Roman" w:eastAsia="宋体"/>
        </w:rPr>
        <mc:AlternateContent>
          <mc:Choice Requires="wps">
            <w:drawing>
              <wp:anchor distT="0" distB="0" distL="114300" distR="114300" simplePos="0" relativeHeight="251659264" behindDoc="0" locked="0" layoutInCell="1" allowOverlap="1">
                <wp:simplePos x="0" y="0"/>
                <wp:positionH relativeFrom="column">
                  <wp:posOffset>2564130</wp:posOffset>
                </wp:positionH>
                <wp:positionV relativeFrom="paragraph">
                  <wp:posOffset>180975</wp:posOffset>
                </wp:positionV>
                <wp:extent cx="1847850" cy="9525"/>
                <wp:effectExtent l="0" t="0" r="0" b="9525"/>
                <wp:wrapNone/>
                <wp:docPr id="41" name="直接连接符 41"/>
                <wp:cNvGraphicFramePr/>
                <a:graphic xmlns:a="http://schemas.openxmlformats.org/drawingml/2006/main">
                  <a:graphicData uri="http://schemas.microsoft.com/office/word/2010/wordprocessingShape">
                    <wps:wsp>
                      <wps:cNvCnPr>
                        <a:cxnSpLocks noChangeShapeType="1"/>
                      </wps:cNvCnPr>
                      <wps:spPr>
                        <a:xfrm>
                          <a:off x="0" y="0"/>
                          <a:ext cx="18478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01.9pt;margin-top:14.25pt;height:0.75pt;width:145.5pt;z-index:251659264;mso-width-relative:page;mso-height-relative:page;" filled="f" stroked="t" coordsize="21600,21600" o:gfxdata="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1UXUf2AAAAAkBAAAPAAAAAAAAAAEAIAAAADgAAABkcnMvZG93bnJldi54bWxQSwECFAAUAAAA&#10;CACHTuJAXN2viRECAAAKBAAADgAAAAAAAAABACAAAAA9AQAAZHJzL2Uyb0RvYy54bWxQSwUGAAAA&#10;AAYABgBZAQAAwAUAAAAA&#10;">
                <v:fill on="f" focussize="0,0"/>
                <v:stroke weight="0.5pt" color="#000000" miterlimit="8" joinstyle="miter"/>
                <v:imagedata o:title=""/>
                <o:lock v:ext="edit" aspectratio="f"/>
              </v:line>
            </w:pict>
          </mc:Fallback>
        </mc:AlternateContent>
      </w:r>
      <w:r>
        <w:rPr>
          <w:rFonts w:ascii="Times New Roman" w:hAnsi="Times New Roman" w:eastAsia="仿宋"/>
          <w:bCs/>
          <w:sz w:val="22"/>
        </w:rPr>
        <w:t>Client’s average net gains or         =, Client’s net gains and losses on the contract (in RMB) losses on the contract                  Client’s net positions on the contract (in unit of weight)</w:t>
      </w:r>
    </w:p>
    <w:p>
      <w:pPr>
        <w:autoSpaceDE w:val="0"/>
        <w:autoSpaceDN w:val="0"/>
        <w:adjustRightInd w:val="0"/>
        <w:snapToGrid w:val="0"/>
        <w:spacing w:after="312" w:afterLines="100" w:line="276" w:lineRule="auto"/>
        <w:jc w:val="left"/>
        <w:rPr>
          <w:rFonts w:ascii="Times New Roman" w:hAnsi="Times New Roman" w:eastAsia="仿宋"/>
          <w:kern w:val="0"/>
          <w:sz w:val="22"/>
        </w:rPr>
      </w:pPr>
      <w:r>
        <w:rPr>
          <w:rFonts w:ascii="Times New Roman" w:hAnsi="Times New Roman" w:eastAsia="仿宋"/>
          <w:kern w:val="0"/>
          <w:sz w:val="22"/>
        </w:rPr>
        <w:t xml:space="preserve">A Client’s net gains or losses on the affected futures contract shall equal the sum of the differences between the daily settlement price on the current day and the actual execution price of contracts where the cumulative amount of the historical transaction positions match the amount of net positions of the current day by tracing back the historical transactions.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 xml:space="preserve">Determination of positions eligible to fill the unfilled orders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The positions eligible to fill the unfilled orders include the net positions, on which the Client, as calculated using the above formula, records average gains for speculative purposes or for hedging purposes at no less than </w:t>
      </w:r>
      <w:r>
        <w:rPr>
          <w:rFonts w:hint="eastAsia" w:ascii="Times New Roman" w:hAnsi="Times New Roman" w:eastAsia="方正仿宋简体"/>
          <w:sz w:val="22"/>
        </w:rPr>
        <w:t>R1</w:t>
      </w:r>
      <w:r>
        <w:rPr>
          <w:rFonts w:ascii="Times New Roman" w:hAnsi="Times New Roman" w:eastAsia="方正仿宋简体"/>
          <w:bCs/>
          <w:sz w:val="22"/>
        </w:rPr>
        <w:t>.</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(4)</w:t>
      </w:r>
      <w:r>
        <w:rPr>
          <w:rFonts w:ascii="Times New Roman" w:hAnsi="Times New Roman" w:eastAsia="方正仿宋简体"/>
          <w:bCs/>
          <w:sz w:val="22"/>
        </w:rPr>
        <w:tab/>
      </w:r>
      <w:r>
        <w:rPr>
          <w:rFonts w:ascii="Times New Roman" w:hAnsi="Times New Roman" w:eastAsia="方正仿宋简体"/>
          <w:bCs/>
          <w:sz w:val="22"/>
        </w:rPr>
        <w:t xml:space="preserve">Principles and methods for the order fill of unfilled orders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(a)</w:t>
      </w:r>
      <w:r>
        <w:rPr>
          <w:rFonts w:ascii="Times New Roman" w:hAnsi="Times New Roman" w:eastAsia="方正仿宋简体"/>
          <w:bCs/>
          <w:sz w:val="22"/>
        </w:rPr>
        <w:tab/>
      </w:r>
      <w:r>
        <w:rPr>
          <w:rFonts w:ascii="Times New Roman" w:hAnsi="Times New Roman" w:eastAsia="方正仿宋简体"/>
          <w:bCs/>
          <w:sz w:val="22"/>
        </w:rPr>
        <w:t>Principles</w:t>
      </w:r>
    </w:p>
    <w:p>
      <w:pPr>
        <w:tabs>
          <w:tab w:val="left" w:pos="709"/>
        </w:tabs>
        <w:adjustRightInd w:val="0"/>
        <w:snapToGrid w:val="0"/>
        <w:spacing w:after="312" w:afterLines="100" w:line="276" w:lineRule="auto"/>
        <w:ind w:left="709" w:leftChars="337" w:hanging="1"/>
        <w:jc w:val="left"/>
        <w:rPr>
          <w:rFonts w:ascii="Times New Roman" w:hAnsi="Times New Roman" w:eastAsia="方正仿宋简体"/>
          <w:bCs/>
          <w:sz w:val="22"/>
        </w:rPr>
      </w:pPr>
      <w:r>
        <w:rPr>
          <w:rFonts w:ascii="Times New Roman" w:hAnsi="Times New Roman" w:eastAsia="方正仿宋简体"/>
          <w:bCs/>
          <w:sz w:val="22"/>
        </w:rPr>
        <w:t>(i)</w:t>
      </w:r>
      <w:r>
        <w:rPr>
          <w:rFonts w:ascii="Times New Roman" w:hAnsi="Times New Roman" w:eastAsia="方正仿宋简体"/>
          <w:bCs/>
          <w:sz w:val="22"/>
        </w:rPr>
        <w:tab/>
      </w:r>
      <w:r>
        <w:rPr>
          <w:rFonts w:ascii="Times New Roman" w:hAnsi="Times New Roman" w:eastAsia="方正仿宋简体"/>
          <w:bCs/>
          <w:sz w:val="22"/>
        </w:rPr>
        <w:t xml:space="preserve">The order fill of unfilled orders shall take place in the order of the following four levels with regard to the amount of gains and whether such positions are speculative or hedging: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 xml:space="preserve">Level 1: Unfilled orders shall be filled with the speculative positions eligible to fill the unfilled orders of any Client with average gains on net positions of no less than </w:t>
      </w:r>
      <w:r>
        <w:rPr>
          <w:rFonts w:hint="eastAsia" w:ascii="Times New Roman" w:hAnsi="Times New Roman" w:eastAsia="方正仿宋简体"/>
          <w:sz w:val="22"/>
        </w:rPr>
        <w:t>R1</w:t>
      </w:r>
      <w:r>
        <w:rPr>
          <w:rFonts w:ascii="Times New Roman" w:hAnsi="Times New Roman" w:eastAsia="方正仿宋简体"/>
          <w:bCs/>
          <w:sz w:val="22"/>
        </w:rPr>
        <w:t xml:space="preserve">;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 xml:space="preserve">Level 2: Unfilled orders shall be filled with the speculative positions eligible to fill the unfilled orders of any Client with average gains on net positions of no less than </w:t>
      </w:r>
      <w:r>
        <w:rPr>
          <w:rFonts w:hint="eastAsia" w:ascii="Times New Roman" w:hAnsi="Times New Roman" w:eastAsia="方正仿宋简体"/>
          <w:bCs/>
          <w:sz w:val="22"/>
        </w:rPr>
        <w:t>R2</w:t>
      </w:r>
      <w:r>
        <w:rPr>
          <w:rFonts w:ascii="Times New Roman" w:hAnsi="Times New Roman" w:eastAsia="方正仿宋简体"/>
          <w:bCs/>
          <w:sz w:val="22"/>
        </w:rPr>
        <w:t xml:space="preserve"> but no more than </w:t>
      </w:r>
      <w:r>
        <w:rPr>
          <w:rFonts w:hint="eastAsia" w:ascii="Times New Roman" w:hAnsi="Times New Roman" w:eastAsia="方正仿宋简体"/>
          <w:bCs/>
          <w:sz w:val="22"/>
        </w:rPr>
        <w:t>R1</w:t>
      </w:r>
      <w:r>
        <w:rPr>
          <w:rFonts w:ascii="Times New Roman" w:hAnsi="Times New Roman" w:eastAsia="方正仿宋简体"/>
          <w:bCs/>
          <w:sz w:val="22"/>
        </w:rPr>
        <w:t xml:space="preserve"> of the settlement price on the base date;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 xml:space="preserve">Level 3: Unfilled orders shall be filled with the speculative positions eligible to fill the unfilled orders of a Client with average gains on net positions of no more than </w:t>
      </w:r>
      <w:r>
        <w:rPr>
          <w:rFonts w:hint="eastAsia" w:ascii="Times New Roman" w:hAnsi="Times New Roman" w:eastAsia="方正仿宋简体"/>
          <w:bCs/>
          <w:sz w:val="22"/>
        </w:rPr>
        <w:t>R2</w:t>
      </w:r>
      <w:r>
        <w:rPr>
          <w:rFonts w:ascii="Times New Roman" w:hAnsi="Times New Roman" w:eastAsia="方正仿宋简体"/>
          <w:bCs/>
          <w:sz w:val="22"/>
        </w:rPr>
        <w:t xml:space="preserve"> of the settlement price on the base date; and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 xml:space="preserve">Level 4: Unfilled orders shall be filled with the </w:t>
      </w:r>
      <w:r>
        <w:rPr>
          <w:rFonts w:hint="eastAsia" w:ascii="Times New Roman" w:hAnsi="Times New Roman" w:eastAsia="方正仿宋简体"/>
          <w:bCs/>
          <w:sz w:val="22"/>
        </w:rPr>
        <w:t xml:space="preserve">hedging </w:t>
      </w:r>
      <w:r>
        <w:rPr>
          <w:rFonts w:ascii="Times New Roman" w:hAnsi="Times New Roman" w:eastAsia="方正仿宋简体"/>
          <w:bCs/>
          <w:sz w:val="22"/>
        </w:rPr>
        <w:t xml:space="preserve">positions eligible to fill the unfilled orders of a Client with average gains on net positions of no less than </w:t>
      </w:r>
      <w:r>
        <w:rPr>
          <w:rFonts w:hint="eastAsia" w:ascii="Times New Roman" w:hAnsi="Times New Roman" w:eastAsia="方正仿宋简体"/>
          <w:bCs/>
          <w:sz w:val="22"/>
        </w:rPr>
        <w:t>R1</w:t>
      </w:r>
      <w:r>
        <w:rPr>
          <w:rFonts w:ascii="Times New Roman" w:hAnsi="Times New Roman" w:eastAsia="方正仿宋简体"/>
          <w:bCs/>
          <w:sz w:val="22"/>
        </w:rPr>
        <w:t xml:space="preserve"> of the settlement price on the base date. </w:t>
      </w:r>
    </w:p>
    <w:p>
      <w:pPr>
        <w:tabs>
          <w:tab w:val="left" w:pos="709"/>
        </w:tabs>
        <w:adjustRightInd w:val="0"/>
        <w:snapToGrid w:val="0"/>
        <w:spacing w:after="312" w:afterLines="100" w:line="276" w:lineRule="auto"/>
        <w:ind w:left="709" w:leftChars="337" w:hanging="1"/>
        <w:jc w:val="left"/>
        <w:rPr>
          <w:rFonts w:ascii="Times New Roman" w:hAnsi="Times New Roman" w:eastAsia="方正仿宋简体"/>
          <w:bCs/>
          <w:sz w:val="22"/>
        </w:rPr>
      </w:pPr>
      <w:r>
        <w:rPr>
          <w:rFonts w:ascii="Times New Roman" w:hAnsi="Times New Roman" w:eastAsia="方正仿宋简体"/>
          <w:bCs/>
          <w:sz w:val="22"/>
        </w:rPr>
        <w:t>(ii)</w:t>
      </w:r>
      <w:r>
        <w:rPr>
          <w:rFonts w:ascii="Times New Roman" w:hAnsi="Times New Roman" w:eastAsia="方正仿宋简体"/>
          <w:bCs/>
          <w:sz w:val="22"/>
        </w:rPr>
        <w:tab/>
      </w:r>
      <w:r>
        <w:rPr>
          <w:rFonts w:ascii="Times New Roman" w:hAnsi="Times New Roman" w:eastAsia="方正仿宋简体"/>
          <w:bCs/>
          <w:sz w:val="22"/>
        </w:rPr>
        <w:t>In each level, the order fill shall be made pro rata to the amount of the positions available to fill the unfilled orders, compared to the amount of the unfilled orders, or the residual unfilled orders.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(b)</w:t>
      </w:r>
      <w:r>
        <w:rPr>
          <w:rFonts w:ascii="Times New Roman" w:hAnsi="Times New Roman" w:eastAsia="方正仿宋简体"/>
          <w:bCs/>
          <w:sz w:val="22"/>
        </w:rPr>
        <w:tab/>
      </w:r>
      <w:r>
        <w:rPr>
          <w:rFonts w:ascii="Times New Roman" w:hAnsi="Times New Roman" w:eastAsia="方正仿宋简体"/>
          <w:bCs/>
          <w:sz w:val="22"/>
        </w:rPr>
        <w:t>Methods and procedures can be found in the Appendix</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 xml:space="preserve">If the amount of the Speculative Position Gains of Over R1 is greater than or equal to that of the unfilled orders, the unfilled orders shall be filled pro rata to the amount of the Speculative Position Gains of Over R1; </w:t>
      </w:r>
    </w:p>
    <w:p>
      <w:pPr>
        <w:adjustRightInd w:val="0"/>
        <w:snapToGrid w:val="0"/>
        <w:spacing w:after="312" w:afterLines="100" w:line="276" w:lineRule="auto"/>
        <w:ind w:left="708" w:leftChars="337"/>
        <w:jc w:val="left"/>
        <w:rPr>
          <w:rFonts w:ascii="Times New Roman" w:hAnsi="Times New Roman" w:eastAsia="方正仿宋简体"/>
          <w:bCs/>
          <w:sz w:val="22"/>
        </w:rPr>
      </w:pPr>
      <w:r>
        <w:rPr>
          <w:rFonts w:ascii="Times New Roman" w:hAnsi="Times New Roman" w:eastAsia="方正仿宋简体"/>
          <w:bCs/>
          <w:sz w:val="22"/>
        </w:rPr>
        <w:t>If the amount of the Speculative Position Gains of Over R1 is smaller than that of the unfilled orders, the Speculative Position Gains of Over R1 shall be filled pro rata to the amount of the unfilled orders. The residual unfilled orders, if any, shall be filled with the Speculative Positions Gains of Over R2 in the same manner as the foregoing, and if there are still orders remaining, the outstanding unfilled orders shall be filled to the Speculative Position Gains of Below R2, and so to the Hedging Position Gains of Over R1. Unfilled orders which eventually remain after all the order fills described above, if any, shall not be filled at all.</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 (5)</w:t>
      </w:r>
      <w:r>
        <w:rPr>
          <w:rFonts w:ascii="Times New Roman" w:hAnsi="Times New Roman" w:eastAsia="方正仿宋简体"/>
          <w:bCs/>
          <w:sz w:val="22"/>
        </w:rPr>
        <w:tab/>
      </w:r>
      <w:r>
        <w:rPr>
          <w:rFonts w:ascii="Times New Roman" w:hAnsi="Times New Roman" w:eastAsia="方正仿宋简体"/>
          <w:bCs/>
          <w:sz w:val="22"/>
        </w:rPr>
        <w:t>Decimals of the Unfilled Orders</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Positions are filled to the unfilled orders posted to the central order book under each Client trader code. In the first step, the integral portion of the total size of unfilled orders posted under each Client trader code shall be filled. In the second step, the remaining unfilled portion, i.e. the portion in decimal number posted under each Client trader code, shall be filled according to the ranking of the Client trader codes from highest to lowest decimal with each Client trader code being filled with one (1) lot, except that if there are two or more Clients with equal decimals that could be included in the fill, such fill shall be done on a random basis if there are no enough positions to fill the orders.</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If market risk is mitigated after the above measures are implemented, the Price Limit and the trading margin will return to their regular levels on the next trading day; otherwise, the Exchange shall take additional risk management measures.</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Financial losses incurred as a result of the implementation of the above measures shall be borne by the Member and its Clients.</w:t>
      </w:r>
    </w:p>
    <w:p>
      <w:pPr>
        <w:tabs>
          <w:tab w:val="left" w:pos="1276"/>
        </w:tabs>
        <w:adjustRightInd w:val="0"/>
        <w:snapToGrid w:val="0"/>
        <w:spacing w:after="312" w:afterLines="100" w:line="276" w:lineRule="auto"/>
        <w:jc w:val="left"/>
        <w:rPr>
          <w:rFonts w:ascii="Times New Roman" w:hAnsi="Times New Roman" w:eastAsia="方正仿宋简体"/>
          <w:sz w:val="22"/>
        </w:rPr>
      </w:pPr>
      <w:r>
        <w:rPr>
          <w:rFonts w:ascii="Times New Roman" w:hAnsi="Times New Roman" w:eastAsia="方正仿宋简体"/>
          <w:sz w:val="22"/>
        </w:rPr>
        <w:t xml:space="preserve">The specific </w:t>
      </w:r>
      <w:r>
        <w:rPr>
          <w:rFonts w:hint="eastAsia" w:ascii="Times New Roman" w:hAnsi="Times New Roman" w:eastAsia="方正仿宋简体"/>
          <w:sz w:val="22"/>
        </w:rPr>
        <w:t xml:space="preserve">value of </w:t>
      </w:r>
      <w:r>
        <w:rPr>
          <w:rFonts w:ascii="Times New Roman" w:hAnsi="Times New Roman" w:eastAsia="方正仿宋简体"/>
          <w:sz w:val="22"/>
        </w:rPr>
        <w:t>parameters R1 and R2 shall be</w:t>
      </w:r>
      <w:r>
        <w:rPr>
          <w:rFonts w:hint="eastAsia" w:ascii="Times New Roman" w:hAnsi="Times New Roman" w:eastAsia="方正仿宋简体"/>
          <w:sz w:val="22"/>
        </w:rPr>
        <w:t xml:space="preserve"> governed by the rules for the particular futures products.</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hint="eastAsia" w:ascii="Times New Roman" w:hAnsi="Times New Roman" w:eastAsia="方正仿宋简体"/>
          <w:b/>
          <w:sz w:val="22"/>
        </w:rPr>
        <w:t>A</w:t>
      </w:r>
      <w:r>
        <w:rPr>
          <w:rFonts w:ascii="Times New Roman" w:hAnsi="Times New Roman" w:eastAsia="方正仿宋简体"/>
          <w:b/>
          <w:sz w:val="22"/>
        </w:rPr>
        <w:t>rticle 19</w:t>
      </w:r>
      <w:r>
        <w:rPr>
          <w:rFonts w:ascii="Times New Roman" w:hAnsi="Times New Roman" w:eastAsia="方正仿宋简体"/>
          <w:b/>
          <w:sz w:val="22"/>
        </w:rPr>
        <w:tab/>
      </w:r>
      <w:r>
        <w:rPr>
          <w:rFonts w:ascii="Times New Roman" w:hAnsi="Times New Roman" w:eastAsia="方正仿宋简体"/>
          <w:bCs/>
          <w:sz w:val="22"/>
        </w:rPr>
        <w:t xml:space="preserve">If the Exchange declares an abnormal condition pursuant to these </w:t>
      </w:r>
      <w:r>
        <w:rPr>
          <w:rFonts w:ascii="Times New Roman" w:hAnsi="Times New Roman" w:eastAsia="方正仿宋简体"/>
          <w:bCs/>
          <w:i/>
          <w:iCs/>
          <w:sz w:val="22"/>
        </w:rPr>
        <w:t>Risk Management Rules,</w:t>
      </w:r>
      <w:r>
        <w:rPr>
          <w:rFonts w:ascii="Times New Roman" w:hAnsi="Times New Roman" w:eastAsia="方正仿宋简体"/>
          <w:bCs/>
          <w:sz w:val="22"/>
        </w:rPr>
        <w:t xml:space="preserve"> it may take such emergency actions as adjusting the time of market opening and closing, suspending trading, adjusting the Price Limit, raising the Margin Requirement, ordering the liquidation of positions by a prescribed deadline, exercising Forced Position Liquidation, limiting the withdrawal of funds, making forced position reduction, and restricting trading, etc.</w:t>
      </w:r>
    </w:p>
    <w:p>
      <w:pPr>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Chapter 4</w:t>
      </w:r>
      <w:r>
        <w:rPr>
          <w:rFonts w:ascii="Times New Roman" w:hAnsi="Times New Roman" w:eastAsia="华文中宋"/>
          <w:b/>
          <w:sz w:val="22"/>
        </w:rPr>
        <w:tab/>
      </w:r>
      <w:r>
        <w:rPr>
          <w:rFonts w:ascii="Times New Roman" w:hAnsi="Times New Roman" w:eastAsia="华文中宋"/>
          <w:b/>
          <w:sz w:val="22"/>
        </w:rPr>
        <w:t>POSITION LIMIT</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20</w:t>
      </w:r>
      <w:r>
        <w:rPr>
          <w:rFonts w:ascii="Times New Roman" w:hAnsi="Times New Roman" w:eastAsia="方正仿宋简体"/>
          <w:bCs/>
          <w:sz w:val="22"/>
        </w:rPr>
        <w:tab/>
      </w:r>
      <w:r>
        <w:rPr>
          <w:rFonts w:ascii="Times New Roman" w:hAnsi="Times New Roman" w:eastAsia="方正仿宋简体"/>
          <w:bCs/>
          <w:sz w:val="22"/>
        </w:rPr>
        <w:t xml:space="preserve">The Exchange applies the Position Limit. </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The term “Position Limit” means the maximum size of long or short positions each Member or Client may hold in a futures contract as prescribed by the Exchange.</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Notwithstanding the preceding paragraph, hedging positions shall be subject to the approval of the Exchange.</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21</w:t>
      </w:r>
      <w:r>
        <w:rPr>
          <w:rFonts w:ascii="Times New Roman" w:hAnsi="Times New Roman" w:eastAsia="方正仿宋简体"/>
          <w:bCs/>
          <w:sz w:val="22"/>
        </w:rPr>
        <w:tab/>
      </w:r>
      <w:r>
        <w:rPr>
          <w:rFonts w:ascii="Times New Roman" w:hAnsi="Times New Roman" w:eastAsia="方正仿宋简体"/>
          <w:bCs/>
          <w:sz w:val="22"/>
        </w:rPr>
        <w:t xml:space="preserve">The following fundamental rules shall govern the Position Limit: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(1)</w:t>
      </w:r>
      <w:r>
        <w:rPr>
          <w:rFonts w:ascii="Times New Roman" w:hAnsi="Times New Roman" w:eastAsia="方正仿宋简体"/>
          <w:bCs/>
          <w:sz w:val="22"/>
        </w:rPr>
        <w:tab/>
      </w:r>
      <w:r>
        <w:rPr>
          <w:rFonts w:ascii="Times New Roman" w:hAnsi="Times New Roman" w:eastAsia="方正仿宋简体"/>
          <w:bCs/>
          <w:sz w:val="22"/>
        </w:rPr>
        <w:t xml:space="preserve">a specific Position Limit is set for each product and its futures contract, based on its particular conditions;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different Position Limits are applicable to different </w:t>
      </w:r>
      <w:r>
        <w:rPr>
          <w:rFonts w:hint="eastAsia" w:ascii="Times New Roman" w:hAnsi="Times New Roman" w:eastAsia="方正仿宋简体"/>
          <w:bCs/>
          <w:sz w:val="22"/>
        </w:rPr>
        <w:t>stages</w:t>
      </w:r>
      <w:r>
        <w:rPr>
          <w:rFonts w:ascii="Times New Roman" w:hAnsi="Times New Roman" w:eastAsia="方正仿宋简体"/>
          <w:bCs/>
          <w:sz w:val="22"/>
        </w:rPr>
        <w:t xml:space="preserve"> of trading of a contract, and the Exchange shall exercise stringent control over the Position Limit in the delivery month of the contract;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to control the risk, a Position Limit is imposed on the Member and the Client simultaneously (percentage-based Position Limit on the FF Member and fixed-amount Position Limit on the non-FF Member and its Clients).</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22</w:t>
      </w:r>
      <w:r>
        <w:rPr>
          <w:rFonts w:ascii="Times New Roman" w:hAnsi="Times New Roman" w:eastAsia="方正仿宋简体"/>
          <w:b/>
          <w:sz w:val="22"/>
        </w:rPr>
        <w:tab/>
      </w:r>
      <w:r>
        <w:rPr>
          <w:rFonts w:ascii="Times New Roman" w:hAnsi="Times New Roman" w:eastAsia="方正仿宋简体"/>
          <w:bCs/>
          <w:sz w:val="22"/>
        </w:rPr>
        <w:t>For a</w:t>
      </w:r>
      <w:r>
        <w:rPr>
          <w:rFonts w:ascii="Times New Roman" w:hAnsi="Times New Roman" w:eastAsia="方正仿宋简体"/>
          <w:b/>
          <w:sz w:val="22"/>
        </w:rPr>
        <w:t xml:space="preserve"> </w:t>
      </w:r>
      <w:r>
        <w:rPr>
          <w:rFonts w:ascii="Times New Roman" w:hAnsi="Times New Roman" w:eastAsia="方正仿宋简体"/>
          <w:bCs/>
          <w:sz w:val="22"/>
        </w:rPr>
        <w:t>Client with multiple trading codes opened through one or more FF Members, the aggregate amount of all the open positions of all the futures contracts held by the Client under each trading code shall not exceed the Client’s fixed-amount Position Limit prescribed by the Exchange.</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By the close of the last trading day of the month prior to the delivery month, each Member or each Client shall adjust their speculative positions</w:t>
      </w:r>
      <w:r>
        <w:rPr>
          <w:rFonts w:hint="eastAsia" w:ascii="Times New Roman" w:hAnsi="Times New Roman" w:eastAsia="方正仿宋简体"/>
          <w:sz w:val="22"/>
        </w:rPr>
        <w:t xml:space="preserve"> in a futures contract</w:t>
      </w:r>
      <w:r>
        <w:rPr>
          <w:rFonts w:ascii="Times New Roman" w:hAnsi="Times New Roman" w:eastAsia="方正仿宋简体"/>
          <w:bCs/>
          <w:sz w:val="22"/>
        </w:rPr>
        <w:t xml:space="preserve"> held through the Member, to multiples of </w:t>
      </w:r>
      <w:r>
        <w:rPr>
          <w:rFonts w:hint="eastAsia" w:ascii="Times New Roman" w:hAnsi="Times New Roman" w:eastAsia="方正仿宋简体"/>
          <w:sz w:val="22"/>
        </w:rPr>
        <w:t xml:space="preserve">the number of lots of the delivery unit </w:t>
      </w:r>
      <w:r>
        <w:rPr>
          <w:rFonts w:ascii="Times New Roman" w:hAnsi="Times New Roman" w:eastAsia="方正仿宋简体"/>
          <w:bCs/>
          <w:sz w:val="22"/>
        </w:rPr>
        <w:t xml:space="preserve">and a one-day delay is allowed under special market conditions; in the delivery month, the speculative positions as well as newly opened and closed-out positions shall be held in multiples of </w:t>
      </w:r>
      <w:r>
        <w:rPr>
          <w:rFonts w:hint="eastAsia" w:ascii="Times New Roman" w:hAnsi="Times New Roman" w:eastAsia="方正仿宋简体"/>
          <w:sz w:val="22"/>
        </w:rPr>
        <w:t>the number of lots of the delivery unit</w:t>
      </w:r>
      <w:r>
        <w:rPr>
          <w:rFonts w:ascii="Times New Roman" w:hAnsi="Times New Roman" w:eastAsia="方正仿宋简体"/>
          <w:bCs/>
          <w:sz w:val="22"/>
        </w:rPr>
        <w:t xml:space="preserve">. </w:t>
      </w:r>
    </w:p>
    <w:p>
      <w:pPr>
        <w:adjustRightInd w:val="0"/>
        <w:snapToGrid w:val="0"/>
        <w:spacing w:after="312" w:afterLines="100" w:line="276" w:lineRule="auto"/>
        <w:jc w:val="left"/>
        <w:rPr>
          <w:rFonts w:ascii="Times New Roman" w:hAnsi="Times New Roman" w:eastAsia="方正仿宋简体"/>
          <w:b/>
          <w:sz w:val="22"/>
        </w:rPr>
      </w:pPr>
      <w:r>
        <w:rPr>
          <w:rFonts w:ascii="Times New Roman" w:hAnsi="Times New Roman" w:eastAsia="方正仿宋简体"/>
          <w:bCs/>
          <w:sz w:val="22"/>
        </w:rPr>
        <w:t xml:space="preserve">The rounding of the size of hedging positions in the futures contracts enumerated in the preceding paragraphs to multiples of a certain number of lots are specified in the </w:t>
      </w:r>
      <w:r>
        <w:rPr>
          <w:rFonts w:ascii="Times New Roman" w:hAnsi="Times New Roman" w:eastAsia="方正仿宋简体"/>
          <w:bCs/>
          <w:i/>
          <w:iCs/>
          <w:sz w:val="22"/>
        </w:rPr>
        <w:t>Hedg</w:t>
      </w:r>
      <w:r>
        <w:rPr>
          <w:rFonts w:hint="eastAsia" w:ascii="Times New Roman" w:hAnsi="Times New Roman" w:eastAsia="方正仿宋简体"/>
          <w:i/>
          <w:iCs/>
          <w:sz w:val="22"/>
        </w:rPr>
        <w:t>e Trad</w:t>
      </w:r>
      <w:r>
        <w:rPr>
          <w:rFonts w:ascii="Times New Roman" w:hAnsi="Times New Roman" w:eastAsia="方正仿宋简体"/>
          <w:bCs/>
          <w:i/>
          <w:iCs/>
          <w:sz w:val="22"/>
        </w:rPr>
        <w:t>ing Rules of the Shanghai Futures Exchange</w:t>
      </w:r>
      <w:r>
        <w:rPr>
          <w:rFonts w:ascii="Times New Roman" w:hAnsi="Times New Roman" w:eastAsia="方正仿宋简体"/>
          <w:bCs/>
          <w:sz w:val="22"/>
        </w:rPr>
        <w:t>.</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等线" w:cs="Times New Roman"/>
          <w:bCs/>
          <w:snapToGrid w:val="0"/>
          <w:kern w:val="22"/>
          <w:sz w:val="22"/>
        </w:rPr>
        <w:t xml:space="preserve">To the extent of any inconsistency between these </w:t>
      </w:r>
      <w:r>
        <w:rPr>
          <w:rFonts w:hint="eastAsia" w:ascii="Times New Roman" w:hAnsi="Times New Roman" w:eastAsia="等线" w:cs="Times New Roman"/>
          <w:bCs/>
          <w:i/>
          <w:iCs/>
          <w:snapToGrid w:val="0"/>
          <w:kern w:val="22"/>
          <w:sz w:val="22"/>
        </w:rPr>
        <w:t>Risk Management</w:t>
      </w:r>
      <w:r>
        <w:rPr>
          <w:rFonts w:ascii="Times New Roman" w:hAnsi="Times New Roman" w:eastAsia="等线" w:cs="Times New Roman"/>
          <w:bCs/>
          <w:i/>
          <w:iCs/>
          <w:snapToGrid w:val="0"/>
          <w:kern w:val="22"/>
          <w:sz w:val="22"/>
        </w:rPr>
        <w:t xml:space="preserve"> Rules</w:t>
      </w:r>
      <w:r>
        <w:rPr>
          <w:rFonts w:ascii="Times New Roman" w:hAnsi="Times New Roman" w:eastAsia="等线" w:cs="Times New Roman"/>
          <w:bCs/>
          <w:snapToGrid w:val="0"/>
          <w:kern w:val="22"/>
          <w:sz w:val="22"/>
        </w:rPr>
        <w:t xml:space="preserve"> and 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
          <w:sz w:val="22"/>
        </w:rPr>
        <w:t>Article 23</w:t>
      </w:r>
      <w:r>
        <w:rPr>
          <w:rFonts w:ascii="Times New Roman" w:hAnsi="Times New Roman" w:eastAsia="方正仿宋简体"/>
          <w:bCs/>
          <w:sz w:val="22"/>
        </w:rPr>
        <w:tab/>
      </w:r>
      <w:r>
        <w:rPr>
          <w:rFonts w:ascii="Times New Roman" w:hAnsi="Times New Roman" w:eastAsia="仿宋"/>
          <w:bCs/>
          <w:sz w:val="22"/>
        </w:rPr>
        <w:t xml:space="preserve">Percentage-based position and </w:t>
      </w:r>
      <w:r>
        <w:rPr>
          <w:rFonts w:ascii="Times New Roman" w:hAnsi="Times New Roman"/>
          <w:sz w:val="22"/>
        </w:rPr>
        <w:t>fixed-amount Position Limit</w:t>
      </w:r>
      <w:r>
        <w:rPr>
          <w:rFonts w:ascii="Times New Roman" w:hAnsi="Times New Roman" w:eastAsia="方正仿宋简体"/>
          <w:bCs/>
          <w:sz w:val="22"/>
        </w:rPr>
        <w:t xml:space="preserve"> for each futures contract at different stages of trading for an FF Member, a non-FF Member and a Client are </w:t>
      </w:r>
      <w:r>
        <w:rPr>
          <w:rFonts w:hint="eastAsia" w:ascii="Times New Roman" w:hAnsi="Times New Roman" w:eastAsia="方正仿宋简体"/>
          <w:sz w:val="22"/>
        </w:rPr>
        <w:t>governed by the rules for the particular futures products.</w:t>
      </w:r>
    </w:p>
    <w:p>
      <w:pPr>
        <w:tabs>
          <w:tab w:val="left" w:pos="1276"/>
        </w:tabs>
        <w:adjustRightInd w:val="0"/>
        <w:snapToGrid w:val="0"/>
        <w:spacing w:after="312" w:afterLines="100" w:line="276" w:lineRule="auto"/>
        <w:jc w:val="left"/>
        <w:rPr>
          <w:rFonts w:ascii="Times New Roman" w:hAnsi="Times New Roman" w:eastAsia="方正仿宋简体"/>
          <w:sz w:val="22"/>
        </w:rPr>
      </w:pPr>
      <w:r>
        <w:rPr>
          <w:rFonts w:ascii="Times New Roman" w:hAnsi="Times New Roman" w:eastAsia="方正仿宋简体"/>
          <w:b/>
          <w:bCs/>
          <w:sz w:val="22"/>
        </w:rPr>
        <w:t>Article 24</w:t>
      </w:r>
      <w:r>
        <w:rPr>
          <w:rFonts w:ascii="Times New Roman" w:hAnsi="Times New Roman" w:eastAsia="方正仿宋简体"/>
          <w:b/>
          <w:bCs/>
          <w:sz w:val="22"/>
        </w:rPr>
        <w:tab/>
      </w:r>
      <w:r>
        <w:rPr>
          <w:rFonts w:ascii="Times New Roman" w:hAnsi="Times New Roman" w:eastAsia="方正仿宋简体"/>
          <w:sz w:val="22"/>
        </w:rPr>
        <w:t>The Exchange may adjust the percentage-based Position Limit of an FF Member based on its operating results.</w:t>
      </w:r>
    </w:p>
    <w:p>
      <w:pPr>
        <w:autoSpaceDE w:val="0"/>
        <w:autoSpaceDN w:val="0"/>
        <w:adjustRightInd w:val="0"/>
        <w:snapToGrid w:val="0"/>
        <w:spacing w:after="312" w:afterLines="100" w:line="276" w:lineRule="auto"/>
        <w:jc w:val="left"/>
        <w:rPr>
          <w:rFonts w:ascii="Times New Roman" w:hAnsi="Times New Roman" w:eastAsia="方正仿宋简体"/>
          <w:sz w:val="22"/>
        </w:rPr>
      </w:pPr>
      <w:r>
        <w:rPr>
          <w:rFonts w:ascii="Times New Roman" w:hAnsi="Times New Roman" w:eastAsia="方正仿宋简体"/>
          <w:sz w:val="22"/>
        </w:rPr>
        <w:t>The Exchange may adjust the percentage-based Position Limit of an FF Member up to 35% according to the rating of futures firms as per the CSRC’s supervision criteria</w:t>
      </w:r>
      <w:r>
        <w:rPr>
          <w:rFonts w:hint="eastAsia" w:ascii="Times New Roman" w:hAnsi="Times New Roman" w:eastAsia="方正仿宋简体"/>
          <w:sz w:val="22"/>
        </w:rPr>
        <w:t>.</w:t>
      </w:r>
      <w:r>
        <w:rPr>
          <w:rFonts w:ascii="Times New Roman" w:hAnsi="Times New Roman" w:eastAsia="方正仿宋简体"/>
          <w:sz w:val="22"/>
        </w:rPr>
        <w:t xml:space="preserve"> </w:t>
      </w:r>
    </w:p>
    <w:p>
      <w:pPr>
        <w:autoSpaceDE w:val="0"/>
        <w:autoSpaceDN w:val="0"/>
        <w:adjustRightInd w:val="0"/>
        <w:snapToGrid w:val="0"/>
        <w:spacing w:after="312" w:afterLines="100" w:line="276" w:lineRule="auto"/>
        <w:jc w:val="left"/>
        <w:rPr>
          <w:rFonts w:ascii="Times New Roman" w:hAnsi="Times New Roman" w:eastAsia="方正仿宋简体"/>
          <w:sz w:val="22"/>
        </w:rPr>
      </w:pPr>
      <w:r>
        <w:rPr>
          <w:rFonts w:ascii="Times New Roman" w:hAnsi="Times New Roman" w:eastAsia="方正仿宋简体"/>
          <w:sz w:val="22"/>
        </w:rPr>
        <w:t>Conditions for the adjustment of percentage-based Position Limits of FF Members and their specific position-based Position Limits, the period for imposition of such limits, and other matters will be notified by the Exchange.</w:t>
      </w:r>
    </w:p>
    <w:p>
      <w:pPr>
        <w:tabs>
          <w:tab w:val="left" w:pos="1276"/>
        </w:tabs>
        <w:adjustRightInd w:val="0"/>
        <w:snapToGrid w:val="0"/>
        <w:spacing w:after="312" w:afterLines="100" w:line="276" w:lineRule="auto"/>
        <w:jc w:val="left"/>
        <w:rPr>
          <w:rFonts w:ascii="Times New Roman" w:hAnsi="Times New Roman" w:eastAsia="方正仿宋简体"/>
          <w:sz w:val="22"/>
        </w:rPr>
      </w:pPr>
      <w:r>
        <w:rPr>
          <w:rFonts w:ascii="Times New Roman" w:hAnsi="Times New Roman" w:eastAsia="方正仿宋简体"/>
          <w:b/>
          <w:bCs/>
          <w:sz w:val="22"/>
        </w:rPr>
        <w:t>Article 25</w:t>
      </w:r>
      <w:r>
        <w:rPr>
          <w:rFonts w:ascii="Times New Roman" w:hAnsi="Times New Roman" w:eastAsia="方正仿宋简体"/>
          <w:b/>
          <w:bCs/>
          <w:sz w:val="22"/>
        </w:rPr>
        <w:tab/>
      </w:r>
      <w:r>
        <w:rPr>
          <w:rFonts w:ascii="Times New Roman" w:hAnsi="Times New Roman" w:eastAsia="方正仿宋简体"/>
          <w:sz w:val="22"/>
        </w:rPr>
        <w:t>The Exchange may, based on market conditions, adjust the Position Limits of Members or Clients for different listed products and contracts. Any adjustment to the Position Limit shall be reported by the Exchange to the Board of Directors of the Exchange, or the Board, and the CSRC, for approval prior to its implementation.</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26</w:t>
      </w:r>
      <w:r>
        <w:rPr>
          <w:rFonts w:ascii="Times New Roman" w:hAnsi="Times New Roman"/>
          <w:b/>
          <w:bCs/>
          <w:sz w:val="22"/>
        </w:rPr>
        <w:tab/>
      </w:r>
      <w:r>
        <w:rPr>
          <w:rFonts w:ascii="Times New Roman" w:hAnsi="Times New Roman"/>
          <w:sz w:val="22"/>
        </w:rPr>
        <w:t>The size of open interest held by a non-FF Member or its Client shall not exceed the size of the Position Limit set by the Exchange; otherwise, the Exchange shall exercise Forced Position Liquidation subject to the applicable rules of the Exchange.</w:t>
      </w:r>
    </w:p>
    <w:p>
      <w:pPr>
        <w:adjustRightInd w:val="0"/>
        <w:snapToGrid w:val="0"/>
        <w:spacing w:after="100" w:line="276" w:lineRule="auto"/>
        <w:ind w:left="2" w:right="260"/>
        <w:jc w:val="left"/>
        <w:rPr>
          <w:rFonts w:ascii="Times New Roman" w:hAnsi="Times New Roman"/>
          <w:sz w:val="22"/>
        </w:rPr>
      </w:pPr>
      <w:r>
        <w:rPr>
          <w:rFonts w:ascii="Times New Roman" w:hAnsi="Times New Roman"/>
          <w:sz w:val="22"/>
        </w:rPr>
        <w:t>If the open interest held in aggregate by a Client through multiple trading codes opened with different FF Members exceeds the Client’s Position Limit, the Exchange shall instruct the FF Members to exercise Forced Position Liquidation of the excess positions of that Client, subject to the applicable rules of the Exchange.</w:t>
      </w:r>
    </w:p>
    <w:p>
      <w:pPr>
        <w:adjustRightInd w:val="0"/>
        <w:snapToGrid w:val="0"/>
        <w:spacing w:after="100" w:line="276" w:lineRule="auto"/>
        <w:jc w:val="center"/>
        <w:rPr>
          <w:rFonts w:ascii="Times New Roman" w:hAnsi="Times New Roman" w:eastAsia="方正黑体简体"/>
          <w:b/>
          <w:bCs/>
          <w:sz w:val="22"/>
        </w:rPr>
      </w:pPr>
      <w:r>
        <w:rPr>
          <w:rFonts w:ascii="Times New Roman" w:hAnsi="Times New Roman" w:eastAsia="华文中宋"/>
          <w:b/>
          <w:sz w:val="22"/>
        </w:rPr>
        <w:t>Chapter 5</w:t>
      </w:r>
      <w:r>
        <w:rPr>
          <w:rFonts w:ascii="Times New Roman" w:hAnsi="Times New Roman" w:eastAsia="华文中宋"/>
          <w:b/>
          <w:sz w:val="22"/>
        </w:rPr>
        <w:tab/>
      </w:r>
      <w:r>
        <w:rPr>
          <w:rFonts w:ascii="Times New Roman" w:hAnsi="Times New Roman" w:eastAsia="华文中宋"/>
          <w:b/>
          <w:sz w:val="22"/>
        </w:rPr>
        <w:t>TRADING LIMIT</w:t>
      </w:r>
    </w:p>
    <w:p>
      <w:pPr>
        <w:tabs>
          <w:tab w:val="left" w:pos="1276"/>
        </w:tabs>
        <w:adjustRightInd w:val="0"/>
        <w:snapToGrid w:val="0"/>
        <w:spacing w:after="312" w:afterLines="100" w:line="276" w:lineRule="auto"/>
        <w:jc w:val="left"/>
        <w:rPr>
          <w:rFonts w:ascii="Times New Roman" w:hAnsi="Times New Roman"/>
          <w:b/>
          <w:bCs/>
          <w:sz w:val="22"/>
        </w:rPr>
      </w:pPr>
      <w:r>
        <w:rPr>
          <w:rFonts w:ascii="Times New Roman" w:hAnsi="Times New Roman"/>
          <w:b/>
          <w:bCs/>
          <w:sz w:val="22"/>
        </w:rPr>
        <w:t>Article 27</w:t>
      </w:r>
      <w:r>
        <w:rPr>
          <w:rFonts w:ascii="Times New Roman" w:hAnsi="Times New Roman"/>
          <w:b/>
          <w:bCs/>
          <w:sz w:val="22"/>
        </w:rPr>
        <w:tab/>
      </w:r>
      <w:r>
        <w:rPr>
          <w:rFonts w:ascii="Times New Roman" w:hAnsi="Times New Roman"/>
          <w:sz w:val="22"/>
        </w:rPr>
        <w:t xml:space="preserve">The Exchange </w:t>
      </w:r>
      <w:r>
        <w:rPr>
          <w:rFonts w:ascii="Times New Roman" w:hAnsi="Times New Roman" w:eastAsia="华文中宋"/>
          <w:bCs/>
          <w:sz w:val="22"/>
        </w:rPr>
        <w:t>applies Trading Limit. The term “Trading Limit” means the maximum size of positions opened by a Member or Client in a contract within a certain period in accordance with the requirements of the Exchange. The Exchange may, based on market conditions, set the maximum size of positions opened within a day in different listed products and contracts for part or all of the Members and specific Clients. The specific criteria will be determined by the Exchange.</w:t>
      </w:r>
    </w:p>
    <w:p>
      <w:pPr>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 xml:space="preserve">Hedging trades are not subject to the preceding paragraph. </w:t>
      </w:r>
    </w:p>
    <w:p>
      <w:pPr>
        <w:keepNext/>
        <w:widowControl/>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Chapter 6</w:t>
      </w:r>
      <w:r>
        <w:rPr>
          <w:rFonts w:ascii="Times New Roman" w:hAnsi="Times New Roman" w:eastAsia="华文中宋"/>
          <w:b/>
          <w:sz w:val="22"/>
        </w:rPr>
        <w:tab/>
      </w:r>
      <w:r>
        <w:rPr>
          <w:rFonts w:ascii="Times New Roman" w:hAnsi="Times New Roman" w:eastAsia="华文中宋"/>
          <w:b/>
          <w:sz w:val="22"/>
        </w:rPr>
        <w:t>LARGE TRADER REPORTING</w:t>
      </w:r>
    </w:p>
    <w:p>
      <w:pPr>
        <w:keepNext/>
        <w:widowControl/>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r>
      <w:r>
        <w:rPr>
          <w:rFonts w:ascii="Times New Roman" w:hAnsi="Times New Roman"/>
          <w:sz w:val="22"/>
        </w:rPr>
        <w:t xml:space="preserve">The Exchange </w:t>
      </w:r>
      <w:r>
        <w:rPr>
          <w:rFonts w:ascii="Times New Roman" w:hAnsi="Times New Roman" w:eastAsia="华文中宋"/>
          <w:bCs/>
          <w:sz w:val="22"/>
        </w:rPr>
        <w:t>applies the Large Trader Reporting regime</w:t>
      </w:r>
      <w:r>
        <w:rPr>
          <w:rFonts w:ascii="Times New Roman" w:hAnsi="Times New Roman"/>
          <w:sz w:val="22"/>
        </w:rPr>
        <w:t>. Any Member or Client, whose speculative positions in a futures contract reaches eighty percent (80%) or more of its or his speculative Position Limit, or as required by the Exchange, shall report to the Exchange about its or his financial conditions and its or his position holding. The Client shall submit such report through its or his FF Member. The Exchange will, at its sole discretion, set and adjust the Position Limit accordingly.</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29</w:t>
      </w:r>
      <w:r>
        <w:rPr>
          <w:rFonts w:ascii="Times New Roman" w:hAnsi="Times New Roman"/>
          <w:b/>
          <w:bCs/>
          <w:sz w:val="22"/>
        </w:rPr>
        <w:tab/>
      </w:r>
      <w:r>
        <w:rPr>
          <w:rFonts w:ascii="Times New Roman" w:hAnsi="Times New Roman"/>
          <w:sz w:val="22"/>
        </w:rPr>
        <w:t xml:space="preserve">Any Member or Client whose positions reach the reportable level shall take the initiative to submit a report to the Exchange by 15:00 of the following trading day. The Exchange may request any additional information from the Member as deemed necessary.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30</w:t>
      </w:r>
      <w:r>
        <w:rPr>
          <w:rFonts w:ascii="Times New Roman" w:hAnsi="Times New Roman"/>
          <w:b/>
          <w:bCs/>
          <w:sz w:val="22"/>
        </w:rPr>
        <w:tab/>
      </w:r>
      <w:r>
        <w:rPr>
          <w:rFonts w:ascii="Times New Roman" w:hAnsi="Times New Roman"/>
          <w:sz w:val="22"/>
        </w:rPr>
        <w:t xml:space="preserve">The FF Member, whose positions meet the position reportable level, shall provide to the Exchange the following documents: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a completed copy of the FF Member Large Trader Reporting Form which specifies the Member’s name and Member code, contract code, open interest, trading margins on the open interest, availability of funds, number of Clients holding positions, the amounts covered by the delivery notice issued, and the amounts tendered for delivery.</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sz w:val="22"/>
        </w:rPr>
        <w:t>(2)</w:t>
      </w:r>
      <w:r>
        <w:rPr>
          <w:rFonts w:ascii="Times New Roman" w:hAnsi="Times New Roman"/>
          <w:sz w:val="22"/>
        </w:rPr>
        <w:tab/>
      </w:r>
      <w:r>
        <w:rPr>
          <w:rFonts w:ascii="Times New Roman" w:hAnsi="Times New Roman" w:eastAsia="方正仿宋简体"/>
          <w:bCs/>
          <w:sz w:val="22"/>
        </w:rPr>
        <w:t xml:space="preserve">a description of the source of funds;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 xml:space="preserve">names, trading codes, respective open interest, account opening documents and daily settlement statements of its top five (5) Clients ranking in terms of size of open interest; and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eastAsia="方正仿宋简体"/>
          <w:bCs/>
          <w:sz w:val="22"/>
        </w:rPr>
        <w:t>(4)</w:t>
      </w:r>
      <w:r>
        <w:rPr>
          <w:rFonts w:ascii="Times New Roman" w:hAnsi="Times New Roman" w:eastAsia="方正仿宋简体"/>
          <w:bCs/>
          <w:sz w:val="22"/>
        </w:rPr>
        <w:tab/>
      </w:r>
      <w:r>
        <w:rPr>
          <w:rFonts w:ascii="Times New Roman" w:hAnsi="Times New Roman" w:eastAsia="方正仿宋简体"/>
          <w:bCs/>
          <w:sz w:val="22"/>
        </w:rPr>
        <w:t>an</w:t>
      </w:r>
      <w:r>
        <w:rPr>
          <w:rFonts w:ascii="Times New Roman" w:hAnsi="Times New Roman"/>
          <w:sz w:val="22"/>
        </w:rPr>
        <w:t>y other documents as required by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31</w:t>
      </w:r>
      <w:r>
        <w:rPr>
          <w:rFonts w:ascii="Times New Roman" w:hAnsi="Times New Roman"/>
          <w:sz w:val="22"/>
        </w:rPr>
        <w:tab/>
      </w:r>
      <w:r>
        <w:rPr>
          <w:rFonts w:ascii="Times New Roman" w:hAnsi="Times New Roman"/>
          <w:sz w:val="22"/>
        </w:rPr>
        <w:t xml:space="preserve">The non-FF Member, whose positions reach the reportable level, shall provide to the Exchange the following documents: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sz w:val="22"/>
        </w:rPr>
        <w:t>(1)</w:t>
      </w:r>
      <w:r>
        <w:rPr>
          <w:rFonts w:ascii="Times New Roman" w:hAnsi="Times New Roman" w:eastAsia="方正仿宋简体"/>
          <w:bCs/>
          <w:sz w:val="22"/>
        </w:rPr>
        <w:tab/>
      </w:r>
      <w:r>
        <w:rPr>
          <w:rFonts w:ascii="Times New Roman" w:hAnsi="Times New Roman" w:eastAsia="方正仿宋简体"/>
          <w:bCs/>
          <w:sz w:val="22"/>
        </w:rPr>
        <w:t>a completed copy of the non-FF Member Large Trader Reporting Form which specifies the Member’s name and Member code, contract code, open interest, trading margins on the open interest, availability of funds, whether the positions held are speculative or hedging, the amounts covered by the delivery notice issued and the amounts tendered for delivery.</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a description of the source of funds; and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any oth</w:t>
      </w:r>
      <w:r>
        <w:rPr>
          <w:rFonts w:ascii="Times New Roman" w:hAnsi="Times New Roman"/>
          <w:sz w:val="22"/>
        </w:rPr>
        <w:t>er documents as required by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32</w:t>
      </w:r>
      <w:r>
        <w:rPr>
          <w:rFonts w:ascii="Times New Roman" w:hAnsi="Times New Roman"/>
          <w:sz w:val="22"/>
        </w:rPr>
        <w:tab/>
      </w:r>
      <w:r>
        <w:rPr>
          <w:rFonts w:ascii="Times New Roman" w:hAnsi="Times New Roman"/>
          <w:sz w:val="22"/>
        </w:rPr>
        <w:t xml:space="preserve">Any Client, whose positions reach the reportable level shall provide to the Exchange the following documents: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sz w:val="22"/>
        </w:rPr>
        <w:t>(1)</w:t>
      </w:r>
      <w:r>
        <w:rPr>
          <w:rFonts w:ascii="Times New Roman" w:hAnsi="Times New Roman"/>
          <w:sz w:val="22"/>
        </w:rPr>
        <w:tab/>
      </w:r>
      <w:r>
        <w:rPr>
          <w:rFonts w:ascii="Times New Roman" w:hAnsi="Times New Roman" w:eastAsia="方正仿宋简体"/>
          <w:bCs/>
          <w:sz w:val="22"/>
        </w:rPr>
        <w:t>a completed copy of the Client Large Trader Reporting Form which specifies the Member’s name and Member code, Client name and Client code, contract code, open interest, trading margins on the open interest, availability of funds, whether the positions held are speculative or hedging, the amounts covered by the delivery notice issued and the amounts tendered for delivery.</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an explanation of the source of its or his funds;</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account opening documents and the settlement statement of the current day; and</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(4)</w:t>
      </w:r>
      <w:r>
        <w:rPr>
          <w:rFonts w:ascii="Times New Roman" w:hAnsi="Times New Roman" w:eastAsia="方正仿宋简体"/>
          <w:bCs/>
          <w:sz w:val="22"/>
        </w:rPr>
        <w:tab/>
      </w:r>
      <w:r>
        <w:rPr>
          <w:rFonts w:ascii="Times New Roman" w:hAnsi="Times New Roman" w:eastAsia="方正仿宋简体"/>
          <w:bCs/>
          <w:sz w:val="22"/>
        </w:rPr>
        <w:t>any other documentation required by the Exchange.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33</w:t>
      </w:r>
      <w:r>
        <w:rPr>
          <w:rFonts w:ascii="Times New Roman" w:hAnsi="Times New Roman"/>
          <w:sz w:val="22"/>
        </w:rPr>
        <w:tab/>
      </w:r>
      <w:r>
        <w:rPr>
          <w:rFonts w:ascii="Times New Roman" w:hAnsi="Times New Roman"/>
          <w:sz w:val="22"/>
        </w:rPr>
        <w:t>Each FF Member shall review the documents submitted by its Client whose positions reach the reportable level, before forwarding them to the Exchange. The FF Member shall be responsible for the accuracy of documents submitted by the Client and shall properly keep original copies signed by the Client or the Client’s telephone recordings and other supporting documents in relation to the Large Trader Reporting.</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34</w:t>
      </w:r>
      <w:r>
        <w:rPr>
          <w:rFonts w:ascii="Times New Roman" w:hAnsi="Times New Roman"/>
          <w:sz w:val="22"/>
        </w:rPr>
        <w:tab/>
      </w:r>
      <w:r>
        <w:rPr>
          <w:rFonts w:ascii="Times New Roman" w:hAnsi="Times New Roman"/>
          <w:sz w:val="22"/>
        </w:rPr>
        <w:t xml:space="preserve">The Exchange may, from time to time, examine the documents submitted by the Member or the Client.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35</w:t>
      </w:r>
      <w:r>
        <w:rPr>
          <w:rFonts w:ascii="Times New Roman" w:hAnsi="Times New Roman"/>
          <w:sz w:val="22"/>
        </w:rPr>
        <w:tab/>
      </w:r>
      <w:r>
        <w:rPr>
          <w:rFonts w:ascii="Times New Roman" w:hAnsi="Times New Roman"/>
          <w:sz w:val="22"/>
        </w:rPr>
        <w:t xml:space="preserve">If the aggregate amount of open interest held by a Client through multiple trading codes opened with different FF Members meets the reportable level, the Exchange shall designate an FF Member to submit the documents required by the Exchange. </w:t>
      </w:r>
    </w:p>
    <w:p>
      <w:pPr>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Chapter 7</w:t>
      </w:r>
      <w:r>
        <w:rPr>
          <w:rFonts w:ascii="Times New Roman" w:hAnsi="Times New Roman" w:eastAsia="华文中宋"/>
          <w:b/>
          <w:sz w:val="22"/>
        </w:rPr>
        <w:tab/>
      </w:r>
      <w:r>
        <w:rPr>
          <w:rFonts w:ascii="Times New Roman" w:hAnsi="Times New Roman" w:eastAsia="华文中宋"/>
          <w:b/>
          <w:sz w:val="22"/>
        </w:rPr>
        <w:t>FORCED POSITION LIQUIDATION</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36</w:t>
      </w:r>
      <w:r>
        <w:rPr>
          <w:rFonts w:ascii="Times New Roman" w:hAnsi="Times New Roman"/>
          <w:sz w:val="22"/>
        </w:rPr>
        <w:tab/>
      </w:r>
      <w:r>
        <w:rPr>
          <w:rFonts w:ascii="Times New Roman" w:hAnsi="Times New Roman"/>
          <w:sz w:val="22"/>
        </w:rPr>
        <w:t>The term “Forced Position Liquidation” means the mandatory action the Exchange takes to close out the positions of a Member or a Client who violates any applicable rules of the Exchange.</w:t>
      </w:r>
    </w:p>
    <w:p>
      <w:pPr>
        <w:keepNext/>
        <w:widowControl/>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37</w:t>
      </w:r>
      <w:r>
        <w:rPr>
          <w:rFonts w:ascii="Times New Roman" w:hAnsi="Times New Roman"/>
          <w:sz w:val="22"/>
        </w:rPr>
        <w:tab/>
      </w:r>
      <w:r>
        <w:rPr>
          <w:rFonts w:ascii="Times New Roman" w:hAnsi="Times New Roman"/>
          <w:sz w:val="22"/>
        </w:rPr>
        <w:t xml:space="preserve">The Exchange shall impose Forced Position Liquidation on the Member or the Client, if: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sz w:val="22"/>
        </w:rPr>
        <w:t>(1)</w:t>
      </w:r>
      <w:r>
        <w:rPr>
          <w:rFonts w:ascii="Times New Roman" w:hAnsi="Times New Roman" w:eastAsia="方正仿宋简体"/>
          <w:bCs/>
          <w:sz w:val="22"/>
        </w:rPr>
        <w:tab/>
      </w:r>
      <w:r>
        <w:rPr>
          <w:rFonts w:ascii="Times New Roman" w:hAnsi="Times New Roman" w:eastAsia="方正仿宋简体"/>
          <w:bCs/>
          <w:sz w:val="22"/>
        </w:rPr>
        <w:t xml:space="preserve">the balance of the clearing deposit of such Member falls below zero (0) and it fails to meet the Margin Requirement within the specified time limit;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(2)</w:t>
      </w:r>
      <w:r>
        <w:rPr>
          <w:rFonts w:ascii="Times New Roman" w:hAnsi="Times New Roman" w:eastAsia="方正仿宋简体"/>
          <w:bCs/>
          <w:sz w:val="22"/>
        </w:rPr>
        <w:tab/>
      </w:r>
      <w:r>
        <w:rPr>
          <w:rFonts w:ascii="Times New Roman" w:hAnsi="Times New Roman" w:eastAsia="方正仿宋简体"/>
          <w:bCs/>
          <w:sz w:val="22"/>
        </w:rPr>
        <w:t xml:space="preserve">its or his open interest exceeds the size of the applicable Position Limit;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(3)</w:t>
      </w:r>
      <w:r>
        <w:rPr>
          <w:rFonts w:ascii="Times New Roman" w:hAnsi="Times New Roman" w:eastAsia="方正仿宋简体"/>
          <w:bCs/>
          <w:sz w:val="22"/>
        </w:rPr>
        <w:tab/>
      </w:r>
      <w:r>
        <w:rPr>
          <w:rFonts w:ascii="Times New Roman" w:hAnsi="Times New Roman" w:eastAsia="方正仿宋简体"/>
          <w:bCs/>
          <w:sz w:val="22"/>
        </w:rPr>
        <w:t xml:space="preserve">such Member or Client fails to bring its or his positions in a futures contract to multiples as required within the specified time limit;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(4)</w:t>
      </w:r>
      <w:r>
        <w:rPr>
          <w:rFonts w:ascii="Times New Roman" w:hAnsi="Times New Roman" w:eastAsia="方正仿宋简体"/>
          <w:bCs/>
          <w:sz w:val="22"/>
        </w:rPr>
        <w:tab/>
      </w:r>
      <w:r>
        <w:rPr>
          <w:rFonts w:ascii="Times New Roman" w:hAnsi="Times New Roman" w:eastAsia="方正仿宋简体"/>
          <w:bCs/>
          <w:sz w:val="22"/>
        </w:rPr>
        <w:t xml:space="preserve">such Member or Client violates any Exchange’s rules that warrants a Forced Position Liquidation; </w:t>
      </w:r>
    </w:p>
    <w:p>
      <w:pPr>
        <w:widowControl/>
        <w:tabs>
          <w:tab w:val="left" w:pos="709"/>
        </w:tabs>
        <w:adjustRightInd w:val="0"/>
        <w:snapToGrid w:val="0"/>
        <w:spacing w:after="312" w:afterLines="100" w:line="276" w:lineRule="auto"/>
        <w:jc w:val="left"/>
        <w:rPr>
          <w:rFonts w:ascii="Times New Roman" w:hAnsi="Times New Roman" w:eastAsia="方正仿宋简体"/>
          <w:bCs/>
          <w:sz w:val="22"/>
        </w:rPr>
      </w:pPr>
      <w:r>
        <w:rPr>
          <w:rFonts w:ascii="Times New Roman" w:hAnsi="Times New Roman" w:eastAsia="方正仿宋简体"/>
          <w:bCs/>
          <w:sz w:val="22"/>
        </w:rPr>
        <w:t>(5)</w:t>
      </w:r>
      <w:r>
        <w:rPr>
          <w:rFonts w:ascii="Times New Roman" w:hAnsi="Times New Roman" w:eastAsia="方正仿宋简体"/>
          <w:bCs/>
          <w:sz w:val="22"/>
        </w:rPr>
        <w:tab/>
      </w:r>
      <w:r>
        <w:rPr>
          <w:rFonts w:ascii="Times New Roman" w:hAnsi="Times New Roman" w:eastAsia="方正仿宋简体"/>
          <w:bCs/>
          <w:sz w:val="22"/>
        </w:rPr>
        <w:t xml:space="preserve">any emergency occurs that warrants a Forced Position Liquidation; or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eastAsia="方正仿宋简体"/>
          <w:bCs/>
          <w:sz w:val="22"/>
        </w:rPr>
        <w:t>(6)</w:t>
      </w:r>
      <w:r>
        <w:rPr>
          <w:rFonts w:ascii="Times New Roman" w:hAnsi="Times New Roman" w:eastAsia="方正仿宋简体"/>
          <w:bCs/>
          <w:sz w:val="22"/>
        </w:rPr>
        <w:tab/>
      </w:r>
      <w:r>
        <w:rPr>
          <w:rFonts w:ascii="Times New Roman" w:hAnsi="Times New Roman" w:eastAsia="方正仿宋简体"/>
          <w:bCs/>
          <w:sz w:val="22"/>
        </w:rPr>
        <w:t>any ot</w:t>
      </w:r>
      <w:r>
        <w:rPr>
          <w:rFonts w:ascii="Times New Roman" w:hAnsi="Times New Roman"/>
          <w:sz w:val="22"/>
        </w:rPr>
        <w:t>her conditions exist that makes the Forced Position Liquidation necessary.</w:t>
      </w:r>
    </w:p>
    <w:p>
      <w:pPr>
        <w:tabs>
          <w:tab w:val="left" w:pos="1276"/>
        </w:tabs>
        <w:adjustRightInd w:val="0"/>
        <w:snapToGrid w:val="0"/>
        <w:spacing w:after="312" w:afterLines="100" w:line="276" w:lineRule="auto"/>
        <w:jc w:val="left"/>
        <w:rPr>
          <w:rFonts w:ascii="Times New Roman" w:hAnsi="Times New Roman"/>
          <w:b/>
          <w:bCs/>
          <w:sz w:val="22"/>
        </w:rPr>
      </w:pPr>
      <w:r>
        <w:rPr>
          <w:rFonts w:ascii="Times New Roman" w:hAnsi="Times New Roman"/>
          <w:b/>
          <w:bCs/>
          <w:sz w:val="22"/>
        </w:rPr>
        <w:t>Article 38</w:t>
      </w:r>
      <w:r>
        <w:rPr>
          <w:rFonts w:ascii="Times New Roman" w:hAnsi="Times New Roman"/>
          <w:b/>
          <w:bCs/>
          <w:sz w:val="22"/>
        </w:rPr>
        <w:tab/>
      </w:r>
      <w:r>
        <w:rPr>
          <w:rFonts w:ascii="Times New Roman" w:hAnsi="Times New Roman"/>
          <w:b/>
          <w:bCs/>
          <w:sz w:val="22"/>
        </w:rPr>
        <w:t>Principles</w:t>
      </w:r>
    </w:p>
    <w:p>
      <w:pPr>
        <w:adjustRightInd w:val="0"/>
        <w:snapToGrid w:val="0"/>
        <w:spacing w:after="312" w:afterLines="100" w:line="276" w:lineRule="auto"/>
        <w:ind w:left="2" w:right="261"/>
        <w:jc w:val="left"/>
        <w:rPr>
          <w:rFonts w:ascii="Times New Roman" w:hAnsi="Times New Roman"/>
          <w:sz w:val="22"/>
        </w:rPr>
      </w:pPr>
      <w:r>
        <w:rPr>
          <w:rFonts w:ascii="Times New Roman" w:hAnsi="Times New Roman"/>
          <w:sz w:val="22"/>
        </w:rPr>
        <w:t>The Member shall, in the first place, exercise Forced Position Liquidation as required by the Exchange by the end of the first trading session on the current trading day or within the time limit prescribed by the Exchange. If the Member fails to fulfill the execution within the defined time limit, the Forced Position Liquidation shall be enforced by the Exchange. The Member, who is required to exercise Forced Position Liquidation because of its clearing deposit balance falling below zero (0), shall be prohibited from opening new positions before meeting the Margin Requirement.</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Positions for the Member’s Execution of Forced Position Liquidation</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Under the conditions provided in the Article 37(1) and (2), the Member shall determine the portion of positions that could be included in the scope of Forced Position Liquidation at its discretion to achieve the results required by the Exchange’s applicable rules.</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rPr>
        <w:t xml:space="preserve">Under the conditions provided in the Article 37(3)-(6), the Exchange shall determine the portion of positions that could be included in the scope of Forced Position Liquidation.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Positions for </w:t>
      </w:r>
      <w:r>
        <w:rPr>
          <w:rFonts w:hint="eastAsia" w:ascii="Times New Roman" w:hAnsi="Times New Roman"/>
          <w:sz w:val="22"/>
        </w:rPr>
        <w:t>t</w:t>
      </w:r>
      <w:r>
        <w:rPr>
          <w:rFonts w:ascii="Times New Roman" w:hAnsi="Times New Roman"/>
          <w:sz w:val="22"/>
        </w:rPr>
        <w:t xml:space="preserve">he Exchange’s Execution of Forced Position Liquidation </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 xml:space="preserve">Under the conditions provided in the Article 37(1), the Exchange shall liquidate the positions subject to the priority of speculative positions over hedging positions, futures over options, and in a descending sequence by the size of the open interest for each contract at the close of the previous trading day, i.e., the speculative positions with the largest open interest shall be liquidated first; and proceed to the liquidation on positions based on the Client’s losses on net positions in a descending sequence. </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Where more than one Member is required to have its open interest liquidated, priority shall be given to the Members with the greatest margin call according to the ranking of margin calls in a descending sequence.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rPr>
        <w:t>Under the conditions provided in the Article 37(2), the Exchange shall take the following measures:</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If the open interest of a Client or a non-FF Member exceeds the Position Limit, the portion in excess shall be liquidated;</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If a Member or Client whose positions reach or exceed the Position Limit, then it or he is not allowed to open new positions in the same direction.</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rPr>
        <w:t xml:space="preserve">Under the conditions provided in the Article 37(3)-37(6), the Exchange shall, in its sole discretion, determine the portion of open interest for Forced Position Liquidation. </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If a Member simultaneously meets the conditions as provided in Article 37(1) and 37(2), the Exchange shall determine the positions for Forced Position Liquidation pursuant to the Article 37(2) in the first place, and then pursuant to the Article37(1).</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39</w:t>
      </w:r>
      <w:r>
        <w:rPr>
          <w:rFonts w:ascii="Times New Roman" w:hAnsi="Times New Roman"/>
          <w:b/>
          <w:bCs/>
          <w:sz w:val="22"/>
        </w:rPr>
        <w:tab/>
      </w:r>
      <w:r>
        <w:rPr>
          <w:rFonts w:ascii="Times New Roman" w:hAnsi="Times New Roman"/>
          <w:sz w:val="22"/>
        </w:rPr>
        <w:t>Enforcement of Forced Position Liquidation</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Notification.</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The Exchange shall issue a notice of Forced Position Liquidation, or the notice, to the Member who is subject to the Forced Position Liquidation. In addition, the notice shall be delivered to the Member through the Member service system along with the daily clearing data.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Enforcement and Confirmation </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sz w:val="22"/>
        </w:rPr>
        <w:t xml:space="preserve">After the market opens, the Member covered by the notice shall enforce the liquidation of its positions and reduce the size of its open interest to the prescribed level, which will be subject to the Exchange’s verification; </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If the Member is subject to the situation provided in the Article 37(3), the Exchange may directly enforce liquidation in respect of the open interest held by such Member; </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sz w:val="22"/>
        </w:rPr>
        <w:t>If the Member fails to complete the Forced Position Liquidation within the specified time limit, the Exchange will directly enforce liquidation of the remaining open interest;</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sz w:val="22"/>
        </w:rPr>
        <w:t xml:space="preserve">Upon the conclusion of the Forced Position Liquidation, the Exchange shall record the enforcement results for filing purpose; and </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(d)</w:t>
      </w:r>
      <w:r>
        <w:rPr>
          <w:rFonts w:ascii="Times New Roman" w:hAnsi="Times New Roman"/>
          <w:sz w:val="22"/>
        </w:rPr>
        <w:tab/>
      </w:r>
      <w:r>
        <w:rPr>
          <w:rFonts w:ascii="Times New Roman" w:hAnsi="Times New Roman"/>
          <w:sz w:val="22"/>
        </w:rPr>
        <w:t>The enforcement results of the Forced Position Liquidation shall be delivered to the Member through the Member service system along with the daily trade records.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40</w:t>
      </w:r>
      <w:r>
        <w:rPr>
          <w:rFonts w:ascii="Times New Roman" w:hAnsi="Times New Roman"/>
          <w:b/>
          <w:bCs/>
          <w:sz w:val="22"/>
        </w:rPr>
        <w:tab/>
      </w:r>
      <w:r>
        <w:rPr>
          <w:rFonts w:ascii="Times New Roman" w:hAnsi="Times New Roman"/>
          <w:sz w:val="22"/>
        </w:rPr>
        <w:t xml:space="preserve">Liquidation shall be enforced at a price formed through trades executed on the market.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41</w:t>
      </w:r>
      <w:r>
        <w:rPr>
          <w:rFonts w:ascii="Times New Roman" w:hAnsi="Times New Roman"/>
          <w:b/>
          <w:bCs/>
          <w:sz w:val="22"/>
        </w:rPr>
        <w:tab/>
      </w:r>
      <w:r>
        <w:rPr>
          <w:rFonts w:ascii="Times New Roman" w:hAnsi="Times New Roman"/>
          <w:sz w:val="22"/>
        </w:rPr>
        <w:t>If the Forced Position Liquidation fails to be completed within the specified time due to the limit price or as the result of other market conditions, the remainder of positions subject to the Forced Position Liquidation may and will be closed out on the next trading day pursuant to the principles described in Article 38.</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42</w:t>
      </w:r>
      <w:r>
        <w:rPr>
          <w:rFonts w:ascii="Times New Roman" w:hAnsi="Times New Roman"/>
          <w:sz w:val="22"/>
        </w:rPr>
        <w:tab/>
      </w:r>
      <w:r>
        <w:rPr>
          <w:rFonts w:ascii="Times New Roman" w:hAnsi="Times New Roman"/>
          <w:sz w:val="22"/>
        </w:rPr>
        <w:t>If the Forced Position Liquidation fails to be completed for the current day due to the limit price or as the result of other market conditions, the Exchange shall take measures as appropriate, with regard to the daily clearing status of the Member, to resolve any consequences that may derive from the incomplete Forced Position Liquidation.</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43</w:t>
      </w:r>
      <w:r>
        <w:rPr>
          <w:rFonts w:ascii="Times New Roman" w:hAnsi="Times New Roman"/>
          <w:sz w:val="22"/>
        </w:rPr>
        <w:tab/>
      </w:r>
      <w:r>
        <w:rPr>
          <w:rFonts w:ascii="Times New Roman" w:hAnsi="Times New Roman"/>
          <w:sz w:val="22"/>
        </w:rPr>
        <w:t>If the enforcement of the Forced Position Liquidation on the specific positions must be prolonged due to the Price Limit or as the result of other market conditions, any losses incurred as such shall be borne by the person directly accountable for the enforcement of liquidation. In the event of failure to complete the enforcement of liquidation, the holder of the open interest subject to the Forced Position Liquidation shall assume all the responsibilities arising from its or his ownership and bears all the obligations of delivery on the covered contracts.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44</w:t>
      </w:r>
      <w:r>
        <w:rPr>
          <w:rFonts w:ascii="Times New Roman" w:hAnsi="Times New Roman"/>
          <w:sz w:val="22"/>
        </w:rPr>
        <w:tab/>
      </w:r>
      <w:r>
        <w:rPr>
          <w:rFonts w:ascii="Times New Roman" w:hAnsi="Times New Roman"/>
          <w:sz w:val="22"/>
        </w:rPr>
        <w:t xml:space="preserve">Gains, if any, arising from a Forced Position Liquidation executed by a Member, shall be credited to the person directly accountable for the enforcement of liquidation; gains arising from the Exchange’s enforcement of liquidation shall be disposed of in compliance with the national regulations. Losses arising from a Forced Position Liquidation shall be borne by the person directly accountable for the enforcement of liquidation. </w:t>
      </w:r>
    </w:p>
    <w:p>
      <w:pPr>
        <w:adjustRightInd w:val="0"/>
        <w:snapToGrid w:val="0"/>
        <w:spacing w:after="312" w:afterLines="100" w:line="276" w:lineRule="auto"/>
        <w:ind w:left="2" w:right="262"/>
        <w:jc w:val="left"/>
        <w:rPr>
          <w:rFonts w:ascii="Times New Roman" w:hAnsi="Times New Roman"/>
          <w:sz w:val="22"/>
        </w:rPr>
      </w:pPr>
      <w:r>
        <w:rPr>
          <w:rFonts w:ascii="Times New Roman" w:hAnsi="Times New Roman"/>
          <w:sz w:val="22"/>
        </w:rPr>
        <w:t>If the person directly accountable for the enforcement of liquidation is a client, any losses arising from the Forced Position Liquidation shall first be borne by the Member carrying that client and then the Member may exercise its right of recourse against that client for reimbursement.</w:t>
      </w:r>
    </w:p>
    <w:p>
      <w:pPr>
        <w:adjustRightInd w:val="0"/>
        <w:snapToGrid w:val="0"/>
        <w:spacing w:after="312" w:afterLines="100" w:line="276" w:lineRule="auto"/>
        <w:jc w:val="center"/>
        <w:rPr>
          <w:rFonts w:ascii="Times New Roman" w:hAnsi="Times New Roman" w:eastAsia="宋体"/>
          <w:b/>
          <w:color w:val="000000"/>
          <w:sz w:val="22"/>
        </w:rPr>
      </w:pPr>
      <w:r>
        <w:rPr>
          <w:rFonts w:ascii="Times New Roman" w:hAnsi="Times New Roman" w:eastAsia="华文中宋"/>
          <w:b/>
          <w:sz w:val="22"/>
        </w:rPr>
        <w:t>Chapter 8</w:t>
      </w:r>
      <w:r>
        <w:rPr>
          <w:rFonts w:hint="eastAsia" w:ascii="Times New Roman" w:hAnsi="Times New Roman" w:eastAsia="宋体"/>
          <w:b/>
          <w:color w:val="000000"/>
          <w:sz w:val="22"/>
        </w:rPr>
        <w:tab/>
      </w:r>
      <w:r>
        <w:rPr>
          <w:rFonts w:hint="eastAsia" w:ascii="Times New Roman" w:hAnsi="Times New Roman" w:eastAsia="宋体"/>
          <w:b/>
          <w:color w:val="000000"/>
          <w:sz w:val="22"/>
        </w:rPr>
        <w:t>MANAGEMENT OF</w:t>
      </w:r>
      <w:r>
        <w:rPr>
          <w:rFonts w:ascii="Times New Roman" w:hAnsi="Times New Roman" w:eastAsia="Times New Roman"/>
          <w:b/>
          <w:color w:val="000000"/>
          <w:sz w:val="22"/>
        </w:rPr>
        <w:t xml:space="preserve"> A</w:t>
      </w:r>
      <w:r>
        <w:rPr>
          <w:rFonts w:hint="eastAsia" w:ascii="Times New Roman" w:hAnsi="Times New Roman" w:eastAsia="宋体"/>
          <w:b/>
          <w:color w:val="000000"/>
          <w:sz w:val="22"/>
        </w:rPr>
        <w:t>BNORMAL</w:t>
      </w:r>
      <w:r>
        <w:rPr>
          <w:rFonts w:ascii="Times New Roman" w:hAnsi="Times New Roman" w:eastAsia="Times New Roman"/>
          <w:b/>
          <w:color w:val="000000"/>
          <w:sz w:val="22"/>
        </w:rPr>
        <w:t xml:space="preserve"> C</w:t>
      </w:r>
      <w:r>
        <w:rPr>
          <w:rFonts w:hint="eastAsia" w:ascii="Times New Roman" w:hAnsi="Times New Roman" w:eastAsia="宋体"/>
          <w:b/>
          <w:color w:val="000000"/>
          <w:sz w:val="22"/>
        </w:rPr>
        <w:t>ONDITIONS</w:t>
      </w:r>
    </w:p>
    <w:p>
      <w:pPr>
        <w:adjustRightInd w:val="0"/>
        <w:snapToGrid w:val="0"/>
        <w:spacing w:after="312" w:afterLines="100" w:line="276" w:lineRule="auto"/>
        <w:jc w:val="left"/>
        <w:rPr>
          <w:rFonts w:ascii="Times New Roman" w:hAnsi="Times New Roman" w:eastAsia="宋体"/>
          <w:color w:val="000000"/>
          <w:sz w:val="22"/>
        </w:rPr>
      </w:pPr>
      <w:r>
        <w:rPr>
          <w:rFonts w:ascii="Times New Roman" w:hAnsi="Times New Roman"/>
          <w:b/>
          <w:bCs/>
          <w:sz w:val="22"/>
        </w:rPr>
        <w:t>Article 45</w:t>
      </w:r>
      <w:r>
        <w:rPr>
          <w:rFonts w:ascii="Times New Roman" w:hAnsi="Times New Roman"/>
          <w:b/>
          <w:bCs/>
          <w:sz w:val="22"/>
        </w:rPr>
        <w:tab/>
      </w:r>
      <w:r>
        <w:rPr>
          <w:rFonts w:ascii="Times New Roman" w:hAnsi="Times New Roman"/>
          <w:sz w:val="22"/>
        </w:rPr>
        <w:t>T</w:t>
      </w:r>
      <w:r>
        <w:rPr>
          <w:rFonts w:ascii="Times New Roman" w:hAnsi="Times New Roman" w:eastAsia="Times New Roman"/>
          <w:color w:val="000000"/>
          <w:sz w:val="22"/>
        </w:rPr>
        <w:t>he Exchange may take emergency actions</w:t>
      </w:r>
      <w:r>
        <w:rPr>
          <w:rFonts w:ascii="Times New Roman" w:hAnsi="Times New Roman" w:eastAsia="方正仿宋简体"/>
          <w:bCs/>
          <w:sz w:val="22"/>
        </w:rPr>
        <w:t xml:space="preserve"> </w:t>
      </w:r>
      <w:r>
        <w:rPr>
          <w:rFonts w:ascii="Times New Roman" w:hAnsi="Times New Roman" w:eastAsia="Times New Roman"/>
          <w:color w:val="000000"/>
          <w:sz w:val="22"/>
        </w:rPr>
        <w:t xml:space="preserve">to mitigate risks and announce an abnormal </w:t>
      </w:r>
      <w:r>
        <w:rPr>
          <w:rFonts w:ascii="Times New Roman" w:hAnsi="Times New Roman" w:eastAsia="方正仿宋简体"/>
          <w:bCs/>
          <w:sz w:val="22"/>
        </w:rPr>
        <w:t xml:space="preserve">condition, if during </w:t>
      </w:r>
      <w:r>
        <w:rPr>
          <w:rFonts w:ascii="Times New Roman" w:hAnsi="Times New Roman" w:eastAsia="Times New Roman"/>
          <w:color w:val="000000"/>
          <w:sz w:val="22"/>
        </w:rPr>
        <w:t>futures trading,</w:t>
      </w:r>
    </w:p>
    <w:p>
      <w:pPr>
        <w:tabs>
          <w:tab w:val="left" w:pos="709"/>
        </w:tabs>
        <w:adjustRightInd w:val="0"/>
        <w:snapToGrid w:val="0"/>
        <w:spacing w:after="312" w:afterLines="100" w:line="276" w:lineRule="auto"/>
        <w:jc w:val="left"/>
        <w:rPr>
          <w:rFonts w:ascii="Times New Roman" w:hAnsi="Times New Roman" w:eastAsia="宋体"/>
          <w:color w:val="000000"/>
          <w:sz w:val="22"/>
        </w:rPr>
      </w:pPr>
      <w:r>
        <w:rPr>
          <w:rFonts w:ascii="Times New Roman" w:hAnsi="Times New Roman"/>
          <w:sz w:val="22"/>
        </w:rPr>
        <w:t>(1)</w:t>
      </w:r>
      <w:r>
        <w:rPr>
          <w:rFonts w:ascii="Times New Roman" w:hAnsi="Times New Roman"/>
          <w:sz w:val="22"/>
        </w:rPr>
        <w:tab/>
      </w:r>
      <w:r>
        <w:rPr>
          <w:rFonts w:ascii="Times New Roman" w:hAnsi="Times New Roman" w:eastAsia="Times New Roman"/>
          <w:color w:val="000000"/>
          <w:sz w:val="22"/>
        </w:rPr>
        <w:t>transactions, settlement, delivery, options contracts’ exercise and performance, or other businesses cannot be conducted as normal due to such reasons as earthquake, flood, fire, and other force majeure events, or computer system breakdown</w:t>
      </w:r>
      <w:r>
        <w:rPr>
          <w:rFonts w:hint="eastAsia" w:ascii="Times New Roman" w:hAnsi="Times New Roman" w:eastAsia="宋体"/>
          <w:color w:val="000000"/>
          <w:sz w:val="22"/>
        </w:rPr>
        <w:t>;</w:t>
      </w:r>
    </w:p>
    <w:p>
      <w:pPr>
        <w:tabs>
          <w:tab w:val="left" w:pos="709"/>
        </w:tabs>
        <w:adjustRightInd w:val="0"/>
        <w:snapToGrid w:val="0"/>
        <w:spacing w:after="312" w:afterLines="100" w:line="276" w:lineRule="auto"/>
        <w:jc w:val="left"/>
        <w:rPr>
          <w:rFonts w:ascii="Times New Roman" w:hAnsi="Times New Roman" w:eastAsia="宋体"/>
          <w:color w:val="000000"/>
          <w:sz w:val="22"/>
        </w:rPr>
      </w:pPr>
      <w:r>
        <w:rPr>
          <w:rFonts w:hint="eastAsia" w:ascii="Times New Roman" w:hAnsi="Times New Roman" w:eastAsia="宋体"/>
          <w:sz w:val="22"/>
        </w:rPr>
        <w:t>(2)</w:t>
      </w:r>
      <w:r>
        <w:rPr>
          <w:rFonts w:ascii="Times New Roman" w:hAnsi="Times New Roman" w:eastAsia="Times New Roman"/>
          <w:color w:val="000000"/>
          <w:sz w:val="22"/>
        </w:rPr>
        <w:tab/>
      </w:r>
      <w:r>
        <w:rPr>
          <w:rFonts w:ascii="Times New Roman" w:hAnsi="Times New Roman" w:eastAsia="Times New Roman"/>
          <w:color w:val="000000"/>
          <w:sz w:val="22"/>
        </w:rPr>
        <w:t>any failure to fulfill the obligations of settlement, delivery, or options contracts’ exercise and performance is having or is expected to have serious impact on the market</w:t>
      </w:r>
      <w:r>
        <w:rPr>
          <w:rFonts w:hint="eastAsia" w:ascii="Times New Roman" w:hAnsi="Times New Roman" w:eastAsia="宋体"/>
          <w:color w:val="000000"/>
          <w:sz w:val="22"/>
        </w:rPr>
        <w:t>;</w:t>
      </w:r>
    </w:p>
    <w:p>
      <w:pPr>
        <w:tabs>
          <w:tab w:val="left" w:pos="709"/>
        </w:tabs>
        <w:adjustRightInd w:val="0"/>
        <w:snapToGrid w:val="0"/>
        <w:spacing w:after="312" w:afterLines="100" w:line="276" w:lineRule="auto"/>
        <w:jc w:val="left"/>
        <w:rPr>
          <w:rFonts w:ascii="Times New Roman" w:hAnsi="Times New Roman" w:eastAsia="宋体"/>
          <w:color w:val="000000"/>
          <w:sz w:val="22"/>
        </w:rPr>
      </w:pPr>
      <w:r>
        <w:rPr>
          <w:rFonts w:hint="eastAsia" w:ascii="Times New Roman" w:hAnsi="Times New Roman" w:eastAsia="宋体"/>
          <w:color w:val="000000"/>
          <w:sz w:val="22"/>
        </w:rPr>
        <w:t>(3)</w:t>
      </w:r>
      <w:r>
        <w:rPr>
          <w:rFonts w:ascii="Times New Roman" w:hAnsi="Times New Roman" w:eastAsia="宋体"/>
          <w:color w:val="000000"/>
          <w:sz w:val="22"/>
        </w:rPr>
        <w:tab/>
      </w:r>
      <w:r>
        <w:rPr>
          <w:rFonts w:ascii="Times New Roman" w:hAnsi="Times New Roman" w:eastAsia="方正仿宋简体"/>
          <w:bCs/>
          <w:sz w:val="22"/>
        </w:rPr>
        <w:t>the same direction limit-locked market</w:t>
      </w:r>
      <w:r>
        <w:rPr>
          <w:rFonts w:ascii="Times New Roman" w:hAnsi="Times New Roman" w:eastAsia="Times New Roman"/>
          <w:color w:val="000000"/>
          <w:sz w:val="22"/>
        </w:rPr>
        <w:t xml:space="preserve"> </w:t>
      </w:r>
      <w:r>
        <w:rPr>
          <w:rFonts w:ascii="Times New Roman" w:hAnsi="Times New Roman" w:eastAsia="方正仿宋简体"/>
          <w:bCs/>
          <w:sz w:val="22"/>
        </w:rPr>
        <w:t>exists in the trading of a futures contract</w:t>
      </w:r>
      <w:r>
        <w:rPr>
          <w:rFonts w:ascii="Times New Roman" w:hAnsi="Times New Roman" w:eastAsia="Times New Roman"/>
          <w:color w:val="000000"/>
          <w:sz w:val="22"/>
        </w:rPr>
        <w:t xml:space="preserve">, and it is justified to believe that any Member or Client has violated the </w:t>
      </w:r>
      <w:r>
        <w:rPr>
          <w:rFonts w:ascii="Times New Roman" w:hAnsi="Times New Roman" w:eastAsia="Times New Roman"/>
          <w:i/>
          <w:color w:val="000000"/>
          <w:sz w:val="22"/>
        </w:rPr>
        <w:t xml:space="preserve">General Exchange Rules of the </w:t>
      </w:r>
      <w:r>
        <w:rPr>
          <w:rFonts w:ascii="Times New Roman" w:hAnsi="Times New Roman" w:eastAsia="华文中宋"/>
          <w:bCs/>
          <w:i/>
          <w:iCs/>
          <w:sz w:val="22"/>
        </w:rPr>
        <w:t xml:space="preserve">Shanghai Futures </w:t>
      </w:r>
      <w:r>
        <w:rPr>
          <w:rFonts w:ascii="Times New Roman" w:hAnsi="Times New Roman" w:eastAsia="Times New Roman"/>
          <w:i/>
          <w:color w:val="000000"/>
          <w:sz w:val="22"/>
        </w:rPr>
        <w:t>Exchange</w:t>
      </w:r>
      <w:r>
        <w:rPr>
          <w:rFonts w:ascii="Times New Roman" w:hAnsi="Times New Roman" w:eastAsia="Times New Roman"/>
          <w:b/>
          <w:bCs/>
          <w:color w:val="FF0000"/>
          <w:sz w:val="22"/>
        </w:rPr>
        <w:t xml:space="preserve"> </w:t>
      </w:r>
      <w:r>
        <w:rPr>
          <w:rFonts w:hint="eastAsia" w:ascii="Times New Roman" w:hAnsi="Times New Roman"/>
          <w:bCs/>
          <w:sz w:val="22"/>
        </w:rPr>
        <w:t>or other applicable business rules</w:t>
      </w:r>
      <w:r>
        <w:rPr>
          <w:rFonts w:ascii="Times New Roman" w:hAnsi="Times New Roman" w:eastAsia="Times New Roman"/>
          <w:sz w:val="22"/>
        </w:rPr>
        <w:t xml:space="preserve">, </w:t>
      </w:r>
      <w:r>
        <w:rPr>
          <w:rFonts w:ascii="Times New Roman" w:hAnsi="Times New Roman" w:eastAsia="Times New Roman"/>
          <w:color w:val="000000"/>
          <w:sz w:val="22"/>
        </w:rPr>
        <w:t>which is having or is expected to have material impact on the market;</w:t>
      </w:r>
      <w:r>
        <w:rPr>
          <w:rFonts w:hint="eastAsia" w:ascii="Times New Roman" w:hAnsi="Times New Roman" w:eastAsia="宋体"/>
          <w:color w:val="000000"/>
          <w:sz w:val="22"/>
        </w:rPr>
        <w:t xml:space="preserve"> or</w:t>
      </w:r>
    </w:p>
    <w:p>
      <w:pPr>
        <w:tabs>
          <w:tab w:val="left" w:pos="709"/>
        </w:tabs>
        <w:adjustRightInd w:val="0"/>
        <w:snapToGrid w:val="0"/>
        <w:spacing w:after="312" w:afterLines="100" w:line="276" w:lineRule="auto"/>
        <w:jc w:val="left"/>
        <w:rPr>
          <w:rFonts w:ascii="Times New Roman" w:hAnsi="Times New Roman" w:eastAsia="宋体"/>
          <w:color w:val="000000"/>
          <w:sz w:val="22"/>
        </w:rPr>
      </w:pPr>
      <w:r>
        <w:rPr>
          <w:rFonts w:hint="eastAsia" w:ascii="Times New Roman" w:hAnsi="Times New Roman" w:eastAsia="宋体"/>
          <w:color w:val="000000"/>
          <w:sz w:val="22"/>
        </w:rPr>
        <w:t>(4)</w:t>
      </w:r>
      <w:r>
        <w:rPr>
          <w:rFonts w:ascii="Times New Roman" w:hAnsi="Times New Roman" w:eastAsia="宋体"/>
          <w:color w:val="000000"/>
          <w:sz w:val="22"/>
        </w:rPr>
        <w:tab/>
      </w:r>
      <w:r>
        <w:rPr>
          <w:rFonts w:ascii="Times New Roman" w:hAnsi="Times New Roman" w:eastAsia="宋体"/>
          <w:color w:val="000000"/>
          <w:sz w:val="22"/>
        </w:rPr>
        <w:t xml:space="preserve">there occur </w:t>
      </w:r>
      <w:r>
        <w:rPr>
          <w:rFonts w:ascii="Times New Roman" w:hAnsi="Times New Roman" w:eastAsia="Times New Roman"/>
          <w:color w:val="000000"/>
          <w:sz w:val="22"/>
        </w:rPr>
        <w:t>other circumstances as prescribed by the Exchange</w:t>
      </w:r>
      <w:r>
        <w:rPr>
          <w:rFonts w:hint="eastAsia" w:ascii="Times New Roman" w:hAnsi="Times New Roman" w:eastAsia="宋体"/>
          <w:color w:val="000000"/>
          <w:sz w:val="22"/>
        </w:rPr>
        <w:t>.</w:t>
      </w:r>
    </w:p>
    <w:p>
      <w:pPr>
        <w:adjustRightInd w:val="0"/>
        <w:snapToGrid w:val="0"/>
        <w:spacing w:after="312" w:afterLines="100" w:line="276" w:lineRule="auto"/>
        <w:jc w:val="left"/>
        <w:rPr>
          <w:rFonts w:ascii="Times New Roman" w:hAnsi="Times New Roman" w:eastAsia="宋体"/>
          <w:color w:val="000000"/>
          <w:sz w:val="22"/>
        </w:rPr>
      </w:pPr>
      <w:r>
        <w:rPr>
          <w:rFonts w:ascii="Times New Roman" w:hAnsi="Times New Roman" w:eastAsia="Times New Roman"/>
          <w:color w:val="000000"/>
          <w:sz w:val="22"/>
        </w:rPr>
        <w:t xml:space="preserve">When an abnormal </w:t>
      </w:r>
      <w:r>
        <w:rPr>
          <w:rFonts w:hint="eastAsia" w:ascii="Times New Roman" w:hAnsi="Times New Roman" w:eastAsia="宋体"/>
          <w:color w:val="000000"/>
          <w:sz w:val="22"/>
        </w:rPr>
        <w:t>condition</w:t>
      </w:r>
      <w:r>
        <w:rPr>
          <w:rFonts w:ascii="Times New Roman" w:hAnsi="Times New Roman" w:eastAsia="Times New Roman"/>
          <w:color w:val="000000"/>
          <w:sz w:val="22"/>
        </w:rPr>
        <w:t xml:space="preserve"> stated in item 1 of the first paragraph occurs, the Exchange’s Chief Executive Officer (CEO) may determine to adjust the time for market opening and closing; temporarily suspend trading; adjust the trading hours; temporarily suspend the listing of new contracts; adjust the last trading day, expiry date, delivery period, physical delivery date, among others, of the relevant contracts; adjust businesses related to standard warrants and delivery, to the exercise, performance, and offsetting of relevant options contracts, or to </w:t>
      </w:r>
      <w:r>
        <w:rPr>
          <w:rFonts w:hint="eastAsia" w:ascii="Times New Roman" w:hAnsi="Times New Roman" w:eastAsia="宋体"/>
          <w:color w:val="000000"/>
          <w:sz w:val="22"/>
        </w:rPr>
        <w:t>marketable securities</w:t>
      </w:r>
      <w:r>
        <w:rPr>
          <w:rFonts w:ascii="Times New Roman" w:hAnsi="Times New Roman" w:eastAsia="Times New Roman"/>
          <w:color w:val="000000"/>
          <w:sz w:val="22"/>
        </w:rPr>
        <w:t xml:space="preserve"> used as margin, and cancel any pending applications for such businesses; adjust the implementation time of Forced Position Liquidation, the collection standards or methods of margin, and Price Limit; adjust the settlement price and final settlement price of relevant contracts; adjust the collection standards and payment period of relevant fees; adjust the ways for sending clearing data; or take any other emergency actions. When an abnormal </w:t>
      </w:r>
      <w:r>
        <w:rPr>
          <w:rFonts w:hint="eastAsia" w:ascii="Times New Roman" w:hAnsi="Times New Roman" w:eastAsia="宋体"/>
          <w:color w:val="000000"/>
          <w:sz w:val="22"/>
        </w:rPr>
        <w:t>condition</w:t>
      </w:r>
      <w:r>
        <w:rPr>
          <w:rFonts w:ascii="Times New Roman" w:hAnsi="Times New Roman" w:eastAsia="Times New Roman"/>
          <w:color w:val="000000"/>
          <w:sz w:val="22"/>
        </w:rPr>
        <w:t xml:space="preserve"> stated in item 1 of the first paragraph occurs, and any trading order or execution data is corrupted or lost and cannot be restored, the CEO may determine to cancel any unfulfilled trading orders, and the Board of Directors may determine to cancel any transactions</w:t>
      </w:r>
      <w:r>
        <w:rPr>
          <w:rFonts w:hint="eastAsia" w:ascii="Times New Roman" w:hAnsi="Times New Roman" w:eastAsia="宋体"/>
          <w:color w:val="000000"/>
          <w:sz w:val="22"/>
        </w:rPr>
        <w:t>.</w:t>
      </w:r>
    </w:p>
    <w:p>
      <w:pPr>
        <w:adjustRightInd w:val="0"/>
        <w:snapToGrid w:val="0"/>
        <w:spacing w:after="312" w:afterLines="100" w:line="276" w:lineRule="auto"/>
        <w:jc w:val="left"/>
        <w:rPr>
          <w:rFonts w:ascii="Times New Roman" w:hAnsi="Times New Roman" w:eastAsia="宋体"/>
          <w:color w:val="000000"/>
          <w:sz w:val="22"/>
        </w:rPr>
      </w:pPr>
      <w:r>
        <w:rPr>
          <w:rFonts w:ascii="Times New Roman" w:hAnsi="Times New Roman" w:eastAsia="Times New Roman"/>
          <w:color w:val="000000"/>
          <w:sz w:val="22"/>
        </w:rPr>
        <w:t xml:space="preserve">When an abnormal </w:t>
      </w:r>
      <w:r>
        <w:rPr>
          <w:rFonts w:hint="eastAsia" w:ascii="Times New Roman" w:hAnsi="Times New Roman" w:eastAsia="宋体"/>
          <w:color w:val="000000"/>
          <w:sz w:val="22"/>
        </w:rPr>
        <w:t>condition</w:t>
      </w:r>
      <w:r>
        <w:rPr>
          <w:rFonts w:ascii="Times New Roman" w:hAnsi="Times New Roman" w:eastAsia="Times New Roman"/>
          <w:color w:val="000000"/>
          <w:sz w:val="22"/>
        </w:rPr>
        <w:t xml:space="preserve"> stated in items 2 to 4 of the first paragraph occurs, the Board of Directors may determine to adjust the time for market opening and closing, temporarily suspend trading, adjust the Price Limit, raise </w:t>
      </w:r>
      <w:r>
        <w:rPr>
          <w:rFonts w:ascii="Times New Roman" w:hAnsi="Times New Roman" w:eastAsia="方正仿宋简体"/>
          <w:bCs/>
          <w:sz w:val="22"/>
        </w:rPr>
        <w:t>the Margin Requirement</w:t>
      </w:r>
      <w:r>
        <w:rPr>
          <w:rFonts w:ascii="Times New Roman" w:hAnsi="Times New Roman" w:eastAsia="Times New Roman"/>
          <w:color w:val="000000"/>
          <w:sz w:val="22"/>
        </w:rPr>
        <w:t xml:space="preserve">, order </w:t>
      </w:r>
      <w:r>
        <w:rPr>
          <w:rFonts w:ascii="Times New Roman" w:hAnsi="Times New Roman" w:eastAsia="方正仿宋简体"/>
          <w:bCs/>
          <w:sz w:val="22"/>
        </w:rPr>
        <w:t>the liquidation of positions by a prescribed deadline</w:t>
      </w:r>
      <w:r>
        <w:rPr>
          <w:rFonts w:ascii="Times New Roman" w:hAnsi="Times New Roman" w:eastAsia="Times New Roman"/>
          <w:color w:val="000000"/>
          <w:sz w:val="22"/>
        </w:rPr>
        <w:t xml:space="preserve">, exercise </w:t>
      </w:r>
      <w:r>
        <w:rPr>
          <w:rFonts w:ascii="Times New Roman" w:hAnsi="Times New Roman" w:eastAsia="方正仿宋简体"/>
          <w:bCs/>
          <w:sz w:val="22"/>
        </w:rPr>
        <w:t>Forced Position Liquidation</w:t>
      </w:r>
      <w:r>
        <w:rPr>
          <w:rFonts w:ascii="Times New Roman" w:hAnsi="Times New Roman" w:eastAsia="Times New Roman"/>
          <w:color w:val="000000"/>
          <w:sz w:val="22"/>
        </w:rPr>
        <w:t>, limit the withdrawal of funds, make forced position reduction, restrict transactions, or take any other emergency actions</w:t>
      </w:r>
      <w:r>
        <w:rPr>
          <w:rFonts w:hint="eastAsia" w:ascii="Times New Roman" w:hAnsi="Times New Roman" w:eastAsia="宋体"/>
          <w:color w:val="000000"/>
          <w:sz w:val="22"/>
        </w:rPr>
        <w:t>.</w:t>
      </w:r>
    </w:p>
    <w:p>
      <w:pPr>
        <w:adjustRightInd w:val="0"/>
        <w:snapToGrid w:val="0"/>
        <w:spacing w:after="312" w:afterLines="100" w:line="276" w:lineRule="auto"/>
        <w:jc w:val="left"/>
        <w:rPr>
          <w:rFonts w:ascii="Times New Roman" w:hAnsi="Times New Roman" w:eastAsia="宋体"/>
          <w:color w:val="000000"/>
          <w:sz w:val="22"/>
        </w:rPr>
      </w:pPr>
      <w:r>
        <w:rPr>
          <w:rFonts w:ascii="Times New Roman" w:hAnsi="Times New Roman"/>
          <w:b/>
          <w:bCs/>
          <w:sz w:val="22"/>
        </w:rPr>
        <w:t>Article 4</w:t>
      </w:r>
      <w:r>
        <w:rPr>
          <w:rFonts w:hint="eastAsia" w:ascii="Times New Roman" w:hAnsi="Times New Roman"/>
          <w:b/>
          <w:bCs/>
          <w:sz w:val="22"/>
        </w:rPr>
        <w:t>6</w:t>
      </w:r>
      <w:r>
        <w:rPr>
          <w:rFonts w:hint="eastAsia" w:ascii="Times New Roman" w:hAnsi="Times New Roman"/>
          <w:b/>
          <w:bCs/>
          <w:sz w:val="22"/>
        </w:rPr>
        <w:tab/>
      </w:r>
      <w:r>
        <w:rPr>
          <w:rFonts w:ascii="Times New Roman" w:hAnsi="Times New Roman" w:eastAsia="Times New Roman"/>
          <w:color w:val="000000"/>
          <w:sz w:val="22"/>
        </w:rPr>
        <w:t xml:space="preserve">The Exchange shall report to the CSRC before announcing abnormal </w:t>
      </w:r>
      <w:r>
        <w:rPr>
          <w:rFonts w:hint="eastAsia" w:ascii="Times New Roman" w:hAnsi="Times New Roman" w:eastAsia="宋体"/>
          <w:color w:val="000000"/>
          <w:sz w:val="22"/>
        </w:rPr>
        <w:t>conditions</w:t>
      </w:r>
      <w:r>
        <w:rPr>
          <w:rFonts w:ascii="Times New Roman" w:hAnsi="Times New Roman" w:eastAsia="Times New Roman"/>
          <w:color w:val="000000"/>
          <w:sz w:val="22"/>
        </w:rPr>
        <w:t xml:space="preserve"> and taking any emergency actions</w:t>
      </w:r>
      <w:r>
        <w:rPr>
          <w:rFonts w:hint="eastAsia" w:ascii="Times New Roman" w:hAnsi="Times New Roman" w:eastAsia="宋体"/>
          <w:color w:val="000000"/>
          <w:sz w:val="22"/>
        </w:rPr>
        <w:t>.</w:t>
      </w:r>
    </w:p>
    <w:p>
      <w:pPr>
        <w:adjustRightInd w:val="0"/>
        <w:snapToGrid w:val="0"/>
        <w:spacing w:after="312" w:afterLines="100" w:line="276" w:lineRule="auto"/>
        <w:jc w:val="left"/>
        <w:rPr>
          <w:rFonts w:ascii="Times New Roman" w:hAnsi="Times New Roman" w:eastAsia="宋体"/>
          <w:sz w:val="22"/>
        </w:rPr>
      </w:pPr>
      <w:r>
        <w:rPr>
          <w:rFonts w:ascii="Times New Roman" w:hAnsi="Times New Roman"/>
          <w:b/>
          <w:bCs/>
          <w:sz w:val="22"/>
        </w:rPr>
        <w:t>Article 4</w:t>
      </w:r>
      <w:r>
        <w:rPr>
          <w:rFonts w:hint="eastAsia" w:ascii="Times New Roman" w:hAnsi="Times New Roman"/>
          <w:b/>
          <w:bCs/>
          <w:sz w:val="22"/>
        </w:rPr>
        <w:t>7</w:t>
      </w:r>
      <w:r>
        <w:rPr>
          <w:rFonts w:hint="eastAsia" w:ascii="Times New Roman" w:hAnsi="Times New Roman"/>
          <w:b/>
          <w:bCs/>
          <w:sz w:val="22"/>
        </w:rPr>
        <w:tab/>
      </w:r>
      <w:r>
        <w:rPr>
          <w:rFonts w:ascii="Times New Roman" w:hAnsi="Times New Roman" w:eastAsia="Times New Roman"/>
          <w:color w:val="000000"/>
          <w:sz w:val="22"/>
        </w:rPr>
        <w:t xml:space="preserve">Where the Exchange announces an abnormal </w:t>
      </w:r>
      <w:r>
        <w:rPr>
          <w:rFonts w:hint="eastAsia" w:ascii="Times New Roman" w:hAnsi="Times New Roman" w:eastAsia="宋体"/>
          <w:color w:val="000000"/>
          <w:sz w:val="22"/>
        </w:rPr>
        <w:t>condition</w:t>
      </w:r>
      <w:r>
        <w:rPr>
          <w:rFonts w:ascii="Times New Roman" w:hAnsi="Times New Roman" w:eastAsia="Times New Roman"/>
          <w:color w:val="000000"/>
          <w:sz w:val="22"/>
        </w:rPr>
        <w:t xml:space="preserve"> and decides to temporarily suspend trading, the suspension shall be no longer than three (3) trading days, unless otherwise approved by the CSRC</w:t>
      </w:r>
      <w:r>
        <w:rPr>
          <w:rFonts w:hint="eastAsia" w:ascii="Times New Roman" w:hAnsi="Times New Roman" w:eastAsia="宋体"/>
          <w:color w:val="000000"/>
          <w:sz w:val="22"/>
        </w:rPr>
        <w:t>.</w:t>
      </w:r>
      <w:r>
        <w:rPr>
          <w:rFonts w:hint="eastAsia" w:ascii="Times New Roman" w:hAnsi="Times New Roman"/>
          <w:b/>
          <w:bCs/>
          <w:sz w:val="22"/>
        </w:rPr>
        <w:tab/>
      </w:r>
    </w:p>
    <w:p>
      <w:pPr>
        <w:adjustRightInd w:val="0"/>
        <w:snapToGrid w:val="0"/>
        <w:spacing w:after="312" w:afterLines="100" w:line="276" w:lineRule="auto"/>
        <w:jc w:val="center"/>
        <w:rPr>
          <w:rFonts w:ascii="Times New Roman" w:hAnsi="Times New Roman" w:eastAsia="华文中宋"/>
          <w:b/>
          <w:sz w:val="22"/>
        </w:rPr>
      </w:pPr>
      <w:r>
        <w:rPr>
          <w:rFonts w:ascii="Times New Roman" w:hAnsi="Times New Roman" w:eastAsia="华文中宋"/>
          <w:b/>
          <w:sz w:val="22"/>
        </w:rPr>
        <w:t xml:space="preserve">Chapter </w:t>
      </w:r>
      <w:r>
        <w:rPr>
          <w:rFonts w:hint="eastAsia" w:ascii="Times New Roman" w:hAnsi="Times New Roman" w:eastAsia="华文中宋"/>
          <w:b/>
          <w:sz w:val="22"/>
        </w:rPr>
        <w:t>9</w:t>
      </w:r>
      <w:r>
        <w:rPr>
          <w:rFonts w:ascii="Times New Roman" w:hAnsi="Times New Roman" w:eastAsia="华文中宋"/>
          <w:b/>
          <w:sz w:val="22"/>
        </w:rPr>
        <w:tab/>
      </w:r>
      <w:r>
        <w:rPr>
          <w:rFonts w:ascii="Times New Roman" w:hAnsi="Times New Roman" w:eastAsia="华文中宋"/>
          <w:b/>
          <w:sz w:val="22"/>
        </w:rPr>
        <w:t>RISK WARNING</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4</w:t>
      </w:r>
      <w:r>
        <w:rPr>
          <w:rFonts w:hint="eastAsia" w:ascii="Times New Roman" w:hAnsi="Times New Roman"/>
          <w:b/>
          <w:bCs/>
          <w:sz w:val="22"/>
        </w:rPr>
        <w:t>8</w:t>
      </w:r>
      <w:r>
        <w:rPr>
          <w:rFonts w:ascii="Times New Roman" w:hAnsi="Times New Roman"/>
          <w:b/>
          <w:bCs/>
          <w:sz w:val="22"/>
        </w:rPr>
        <w:tab/>
      </w:r>
      <w:r>
        <w:rPr>
          <w:rFonts w:ascii="Times New Roman" w:hAnsi="Times New Roman"/>
          <w:sz w:val="22"/>
        </w:rPr>
        <w:t xml:space="preserve">The Exchange may, as it deems necessary, resort to the following measures, alone or in combination, to warn against and resolve risks: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 xml:space="preserve">request an explanation with respect to a specific situation;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conduct an interview to give an oral warning;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issue a Risk Warning letter;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give a reprimand; or</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(5)</w:t>
      </w:r>
      <w:r>
        <w:rPr>
          <w:rFonts w:ascii="Times New Roman" w:hAnsi="Times New Roman"/>
          <w:sz w:val="22"/>
        </w:rPr>
        <w:tab/>
      </w:r>
      <w:r>
        <w:rPr>
          <w:rFonts w:ascii="Times New Roman" w:hAnsi="Times New Roman"/>
          <w:sz w:val="22"/>
        </w:rPr>
        <w:t xml:space="preserve">issue a Risk Warning notice. </w:t>
      </w:r>
    </w:p>
    <w:p>
      <w:pPr>
        <w:widowControl/>
        <w:adjustRightInd w:val="0"/>
        <w:snapToGrid w:val="0"/>
        <w:spacing w:after="312" w:afterLines="100" w:line="276" w:lineRule="auto"/>
        <w:ind w:right="179"/>
        <w:jc w:val="left"/>
        <w:rPr>
          <w:rFonts w:ascii="Times New Roman" w:hAnsi="Times New Roman"/>
          <w:sz w:val="22"/>
        </w:rPr>
      </w:pPr>
      <w:r>
        <w:rPr>
          <w:rFonts w:ascii="Times New Roman" w:hAnsi="Times New Roman"/>
          <w:b/>
          <w:bCs/>
          <w:sz w:val="22"/>
        </w:rPr>
        <w:t>Article 4</w:t>
      </w:r>
      <w:r>
        <w:rPr>
          <w:rFonts w:hint="eastAsia" w:ascii="Times New Roman" w:hAnsi="Times New Roman"/>
          <w:b/>
          <w:bCs/>
          <w:sz w:val="22"/>
        </w:rPr>
        <w:t>9</w:t>
      </w:r>
      <w:r>
        <w:rPr>
          <w:rFonts w:ascii="Times New Roman" w:hAnsi="Times New Roman"/>
          <w:sz w:val="22"/>
        </w:rPr>
        <w:tab/>
      </w:r>
      <w:r>
        <w:rPr>
          <w:rFonts w:ascii="Times New Roman" w:hAnsi="Times New Roman"/>
          <w:sz w:val="22"/>
        </w:rPr>
        <w:t>The Exchange may have an interview with the designated senior executive of a Member or a client, or require a Member or client to provide an explanation with respect to a specific situation, when any of the following conditions occurs:</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unusual futures or options price movements;</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unusual trading activities by such Member or client;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any irregularity in the open interest of such Member or client;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 xml:space="preserve">any irregularity in such Member’s funds on deposit;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(5)</w:t>
      </w:r>
      <w:r>
        <w:rPr>
          <w:rFonts w:ascii="Times New Roman" w:hAnsi="Times New Roman"/>
          <w:sz w:val="22"/>
        </w:rPr>
        <w:tab/>
      </w:r>
      <w:r>
        <w:rPr>
          <w:rFonts w:ascii="Times New Roman" w:hAnsi="Times New Roman"/>
          <w:sz w:val="22"/>
        </w:rPr>
        <w:t xml:space="preserve">any suspected violation or default by such Member or client;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(6)</w:t>
      </w:r>
      <w:r>
        <w:rPr>
          <w:rFonts w:ascii="Times New Roman" w:hAnsi="Times New Roman"/>
          <w:sz w:val="22"/>
        </w:rPr>
        <w:tab/>
      </w:r>
      <w:r>
        <w:rPr>
          <w:rFonts w:ascii="Times New Roman" w:hAnsi="Times New Roman"/>
          <w:sz w:val="22"/>
        </w:rPr>
        <w:t xml:space="preserve">any allegation, accusation or complaint against such Member or client received by the Exchange;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(7)</w:t>
      </w:r>
      <w:r>
        <w:rPr>
          <w:rFonts w:ascii="Times New Roman" w:hAnsi="Times New Roman"/>
          <w:sz w:val="22"/>
        </w:rPr>
        <w:tab/>
      </w:r>
      <w:r>
        <w:rPr>
          <w:rFonts w:ascii="Times New Roman" w:hAnsi="Times New Roman"/>
          <w:sz w:val="22"/>
        </w:rPr>
        <w:t xml:space="preserve">any judicial investigation against such Member; or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(8)</w:t>
      </w:r>
      <w:r>
        <w:rPr>
          <w:rFonts w:ascii="Times New Roman" w:hAnsi="Times New Roman"/>
          <w:sz w:val="22"/>
        </w:rPr>
        <w:tab/>
      </w:r>
      <w:r>
        <w:rPr>
          <w:rFonts w:ascii="Times New Roman" w:hAnsi="Times New Roman"/>
          <w:sz w:val="22"/>
        </w:rPr>
        <w:t xml:space="preserve">other conditions as the Exchange deems necessary. </w:t>
      </w:r>
    </w:p>
    <w:p>
      <w:pPr>
        <w:widowControl/>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The Exchange shall comply with the following requirements in conducting an interview to give an oral warning: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 xml:space="preserve">the Exchange shall issue a written request to the designated executive of the Member or the client for an interview. The client shall be accompanied by a person designated by the Member for the interview;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the Exchange shall notify the Member in writing one (1) day in advance of the time, location and requirements of the interview;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any interviewee who is unable to attend the interview due to any particular reason shall notify the Exchange in advance; with the Exchange’s approval, the party may designate a proxy to attend and act on her or his behalf;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 xml:space="preserve">an interviewee shall make true representations and refrain from intentional concealment of any fact; and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(5)</w:t>
      </w:r>
      <w:r>
        <w:rPr>
          <w:rFonts w:ascii="Times New Roman" w:hAnsi="Times New Roman"/>
          <w:sz w:val="22"/>
        </w:rPr>
        <w:tab/>
      </w:r>
      <w:r>
        <w:rPr>
          <w:rFonts w:ascii="Times New Roman" w:hAnsi="Times New Roman"/>
          <w:sz w:val="22"/>
        </w:rPr>
        <w:t>the Exchange’s employees shall maintain the confidentiality of any information related to the interview.</w:t>
      </w:r>
    </w:p>
    <w:p>
      <w:pPr>
        <w:widowControl/>
        <w:adjustRightInd w:val="0"/>
        <w:snapToGrid w:val="0"/>
        <w:spacing w:after="312" w:afterLines="100" w:line="276" w:lineRule="auto"/>
        <w:ind w:right="179"/>
        <w:jc w:val="left"/>
        <w:rPr>
          <w:rFonts w:ascii="Times New Roman" w:hAnsi="Times New Roman"/>
          <w:sz w:val="22"/>
        </w:rPr>
      </w:pPr>
      <w:r>
        <w:rPr>
          <w:rFonts w:ascii="Times New Roman" w:hAnsi="Times New Roman"/>
          <w:sz w:val="22"/>
        </w:rPr>
        <w:t xml:space="preserve">The Member or the client shall refer to the regime of the Large Trader Reporting for manner and contents of the report, which is set forth in Chapter 5, if it or he is ordered by the Exchange to provide an explanation with respect to a specific situation.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50</w:t>
      </w:r>
      <w:r>
        <w:rPr>
          <w:rFonts w:ascii="Times New Roman" w:hAnsi="Times New Roman"/>
          <w:sz w:val="22"/>
        </w:rPr>
        <w:tab/>
      </w:r>
      <w:r>
        <w:rPr>
          <w:rFonts w:ascii="Times New Roman" w:hAnsi="Times New Roman"/>
          <w:sz w:val="22"/>
        </w:rPr>
        <w:t xml:space="preserve">The Exchange may issue a Risk Warning letter to the Member or the client, if he finds that such Member or client commits any suspected violation of the Exchange’s rules or holds open interest that is exposed to substantial potential risks. </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51</w:t>
      </w:r>
      <w:r>
        <w:rPr>
          <w:rFonts w:ascii="Times New Roman" w:hAnsi="Times New Roman"/>
          <w:sz w:val="22"/>
        </w:rPr>
        <w:tab/>
      </w:r>
      <w:r>
        <w:rPr>
          <w:rFonts w:ascii="Times New Roman" w:hAnsi="Times New Roman"/>
          <w:sz w:val="22"/>
        </w:rPr>
        <w:t xml:space="preserve">The Exchange will make a reprimand against the Member or the client, through the designated media, if the Member or the client is associated with any of the following actions or conduct: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failing to provide an explanation with respect to a specific situation or attend the interview as required by the Exchange;</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intentionally concealing facts, or hides, falsifies, or omits important information when explaining a specific situation or answering questions;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intentionally destroying or eliminates evidence of rule violations or fails to cooperate with the CSRC or the Exchange in any investigation;</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 xml:space="preserve">found to have engaged in fraudulent actions towards clients;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(5)</w:t>
      </w:r>
      <w:r>
        <w:rPr>
          <w:rFonts w:ascii="Times New Roman" w:hAnsi="Times New Roman"/>
          <w:sz w:val="22"/>
        </w:rPr>
        <w:tab/>
      </w:r>
      <w:r>
        <w:rPr>
          <w:rFonts w:ascii="Times New Roman" w:hAnsi="Times New Roman"/>
          <w:sz w:val="22"/>
        </w:rPr>
        <w:t xml:space="preserve">proved, upon investigation, to trade secretly through multiple accounts or manipulate the market; or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(6)</w:t>
      </w:r>
      <w:r>
        <w:rPr>
          <w:rFonts w:ascii="Times New Roman" w:hAnsi="Times New Roman"/>
          <w:sz w:val="22"/>
        </w:rPr>
        <w:tab/>
      </w:r>
      <w:r>
        <w:rPr>
          <w:rFonts w:ascii="Times New Roman" w:hAnsi="Times New Roman"/>
          <w:sz w:val="22"/>
        </w:rPr>
        <w:t>committing any other violation of the Exchange’s rules as determined by the Exchange.</w:t>
      </w:r>
    </w:p>
    <w:p>
      <w:pPr>
        <w:adjustRightInd w:val="0"/>
        <w:snapToGrid w:val="0"/>
        <w:spacing w:after="312" w:afterLines="100" w:line="276" w:lineRule="auto"/>
        <w:ind w:left="-6"/>
        <w:jc w:val="left"/>
        <w:rPr>
          <w:rFonts w:ascii="Times New Roman" w:hAnsi="Times New Roman"/>
          <w:sz w:val="22"/>
        </w:rPr>
      </w:pPr>
      <w:r>
        <w:rPr>
          <w:rFonts w:ascii="Times New Roman" w:hAnsi="Times New Roman"/>
          <w:sz w:val="22"/>
        </w:rPr>
        <w:t xml:space="preserve">Apart from making reprimand against the Member or client, the Exchange shall bring the Member or the client who engages in the violations of the rules of the Exchange under the sanctions as provided in the </w:t>
      </w:r>
      <w:r>
        <w:rPr>
          <w:rFonts w:ascii="Times New Roman" w:hAnsi="Times New Roman"/>
          <w:i/>
          <w:iCs/>
          <w:sz w:val="22"/>
        </w:rPr>
        <w:t>Enforcement Rules of the Shanghai Futures Exchange</w:t>
      </w:r>
      <w:r>
        <w:rPr>
          <w:rFonts w:ascii="Times New Roman" w:hAnsi="Times New Roman"/>
          <w:sz w:val="22"/>
        </w:rPr>
        <w:t>.</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52</w:t>
      </w:r>
      <w:r>
        <w:rPr>
          <w:rFonts w:ascii="Times New Roman" w:hAnsi="Times New Roman"/>
          <w:sz w:val="22"/>
        </w:rPr>
        <w:tab/>
      </w:r>
      <w:r>
        <w:rPr>
          <w:rFonts w:ascii="Times New Roman" w:hAnsi="Times New Roman"/>
          <w:sz w:val="22"/>
        </w:rPr>
        <w:t xml:space="preserve">The Exchange shall issue a Risk Warning notice to all the Members and clients if any of the following conditions exists: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unusual futures or options price movements;</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a considerable discrepancy between the prices of the futures and the physicals;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a considerable discrepancy between prices of domestic and international futures markets; or </w:t>
      </w:r>
    </w:p>
    <w:p>
      <w:pPr>
        <w:widowControl/>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any other abnormal conditions under which the Exchange deems he necessary to issue a Risk Warning notice.</w:t>
      </w:r>
    </w:p>
    <w:p>
      <w:pPr>
        <w:widowControl/>
        <w:adjustRightInd w:val="0"/>
        <w:snapToGrid w:val="0"/>
        <w:spacing w:after="312" w:afterLines="100" w:line="276" w:lineRule="auto"/>
        <w:ind w:right="179"/>
        <w:jc w:val="center"/>
        <w:rPr>
          <w:rFonts w:ascii="Times New Roman" w:hAnsi="Times New Roman"/>
          <w:b/>
          <w:bCs/>
          <w:sz w:val="22"/>
        </w:rPr>
      </w:pPr>
      <w:r>
        <w:rPr>
          <w:rFonts w:ascii="Times New Roman" w:hAnsi="Times New Roman"/>
          <w:b/>
          <w:bCs/>
          <w:sz w:val="22"/>
        </w:rPr>
        <w:t>Chapter 10</w:t>
      </w:r>
      <w:r>
        <w:rPr>
          <w:rFonts w:ascii="Times New Roman" w:hAnsi="Times New Roman"/>
          <w:b/>
          <w:bCs/>
          <w:sz w:val="22"/>
        </w:rPr>
        <w:tab/>
      </w:r>
      <w:r>
        <w:rPr>
          <w:rFonts w:ascii="Times New Roman" w:hAnsi="Times New Roman"/>
          <w:b/>
          <w:bCs/>
          <w:sz w:val="22"/>
        </w:rPr>
        <w:t>MISCELLANEOUS</w:t>
      </w:r>
    </w:p>
    <w:p>
      <w:pPr>
        <w:tabs>
          <w:tab w:val="left" w:pos="1220"/>
        </w:tabs>
        <w:spacing w:after="312" w:afterLines="100" w:line="276" w:lineRule="auto"/>
        <w:jc w:val="left"/>
        <w:rPr>
          <w:rFonts w:ascii="Times New Roman" w:hAnsi="Times New Roman"/>
          <w:bCs/>
          <w:sz w:val="22"/>
        </w:rPr>
      </w:pPr>
      <w:r>
        <w:rPr>
          <w:rFonts w:hint="eastAsia" w:ascii="Times New Roman" w:hAnsi="Times New Roman"/>
          <w:b/>
          <w:bCs/>
          <w:sz w:val="22"/>
        </w:rPr>
        <w:t xml:space="preserve">Article </w:t>
      </w:r>
      <w:r>
        <w:rPr>
          <w:rFonts w:ascii="Times New Roman" w:hAnsi="Times New Roman"/>
          <w:b/>
          <w:bCs/>
          <w:sz w:val="22"/>
        </w:rPr>
        <w:t>53</w:t>
      </w:r>
      <w:r>
        <w:rPr>
          <w:rFonts w:ascii="Times New Roman" w:hAnsi="Times New Roman"/>
          <w:bCs/>
          <w:sz w:val="22"/>
        </w:rPr>
        <w:tab/>
      </w:r>
      <w:r>
        <w:rPr>
          <w:rFonts w:ascii="Times New Roman" w:hAnsi="Times New Roman" w:eastAsia="等线" w:cs="Times New Roman"/>
          <w:bCs/>
          <w:snapToGrid w:val="0"/>
          <w:kern w:val="22"/>
          <w:sz w:val="22"/>
        </w:rPr>
        <w:t xml:space="preserve">To the extent of any inconsistency between these </w:t>
      </w:r>
      <w:r>
        <w:rPr>
          <w:rFonts w:ascii="Times New Roman" w:hAnsi="Times New Roman" w:eastAsia="等线" w:cs="Times New Roman"/>
          <w:bCs/>
          <w:i/>
          <w:iCs/>
          <w:snapToGrid w:val="0"/>
          <w:kern w:val="22"/>
          <w:sz w:val="22"/>
        </w:rPr>
        <w:t xml:space="preserve">Risk Management Rules </w:t>
      </w:r>
      <w:r>
        <w:rPr>
          <w:rFonts w:ascii="Times New Roman" w:hAnsi="Times New Roman" w:eastAsia="等线" w:cs="Times New Roman"/>
          <w:bCs/>
          <w:snapToGrid w:val="0"/>
          <w:kern w:val="22"/>
          <w:sz w:val="22"/>
        </w:rPr>
        <w:t>and the rules for the particular futures products, the product rules shall prevail.</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bCs/>
          <w:sz w:val="22"/>
        </w:rPr>
        <w:t>Article 5</w:t>
      </w:r>
      <w:r>
        <w:rPr>
          <w:rFonts w:hint="eastAsia" w:ascii="Times New Roman" w:hAnsi="Times New Roman"/>
          <w:b/>
          <w:bCs/>
          <w:sz w:val="22"/>
        </w:rPr>
        <w:t>4</w:t>
      </w:r>
      <w:r>
        <w:rPr>
          <w:rFonts w:ascii="Times New Roman" w:hAnsi="Times New Roman"/>
          <w:sz w:val="22"/>
        </w:rPr>
        <w:tab/>
      </w:r>
      <w:r>
        <w:rPr>
          <w:rFonts w:ascii="Times New Roman" w:hAnsi="Times New Roman"/>
          <w:sz w:val="22"/>
        </w:rPr>
        <w:t xml:space="preserve">The rules on risk management of speculative trading in these </w:t>
      </w:r>
      <w:r>
        <w:rPr>
          <w:rFonts w:ascii="Times New Roman" w:hAnsi="Times New Roman"/>
          <w:i/>
          <w:sz w:val="22"/>
        </w:rPr>
        <w:t>Risk Management Rules</w:t>
      </w:r>
      <w:r>
        <w:rPr>
          <w:rFonts w:ascii="Times New Roman" w:hAnsi="Times New Roman"/>
          <w:sz w:val="22"/>
        </w:rPr>
        <w:t xml:space="preserve"> are applicable to non-hedging trading except otherwise specified by the Exchange. </w:t>
      </w:r>
    </w:p>
    <w:p>
      <w:pPr>
        <w:widowControl/>
        <w:adjustRightInd w:val="0"/>
        <w:snapToGrid w:val="0"/>
        <w:spacing w:after="312" w:afterLines="100" w:line="276" w:lineRule="auto"/>
        <w:ind w:right="179"/>
        <w:jc w:val="left"/>
        <w:rPr>
          <w:rFonts w:ascii="Times New Roman" w:hAnsi="Times New Roman"/>
          <w:sz w:val="22"/>
        </w:rPr>
      </w:pPr>
      <w:r>
        <w:rPr>
          <w:rFonts w:ascii="Times New Roman" w:hAnsi="Times New Roman" w:eastAsia="方正仿宋简体"/>
          <w:b/>
          <w:sz w:val="22"/>
        </w:rPr>
        <w:t>Article 55</w:t>
      </w:r>
      <w:r>
        <w:rPr>
          <w:rFonts w:ascii="Times New Roman" w:hAnsi="Times New Roman" w:eastAsia="方正仿宋简体"/>
          <w:bCs/>
          <w:sz w:val="22"/>
        </w:rPr>
        <w:tab/>
      </w:r>
      <w:r>
        <w:rPr>
          <w:rFonts w:ascii="Times New Roman" w:hAnsi="Times New Roman" w:eastAsia="方正仿宋简体"/>
          <w:bCs/>
          <w:sz w:val="22"/>
        </w:rPr>
        <w:t xml:space="preserve">If the Exchange has established any special provisions on </w:t>
      </w:r>
      <w:r>
        <w:rPr>
          <w:rFonts w:hint="eastAsia" w:ascii="Times New Roman" w:hAnsi="Times New Roman" w:eastAsia="方正仿宋简体"/>
          <w:bCs/>
          <w:sz w:val="22"/>
        </w:rPr>
        <w:t xml:space="preserve">the risk management of </w:t>
      </w:r>
      <w:r>
        <w:rPr>
          <w:rFonts w:ascii="Times New Roman" w:hAnsi="Times New Roman" w:eastAsia="方正仿宋简体"/>
          <w:bCs/>
          <w:sz w:val="22"/>
        </w:rPr>
        <w:t>options trading, those provisions shall prevail.</w:t>
      </w:r>
    </w:p>
    <w:p>
      <w:pPr>
        <w:tabs>
          <w:tab w:val="left" w:pos="1276"/>
        </w:tabs>
        <w:adjustRightInd w:val="0"/>
        <w:snapToGrid w:val="0"/>
        <w:spacing w:after="312" w:afterLines="100" w:line="276" w:lineRule="auto"/>
        <w:jc w:val="left"/>
        <w:rPr>
          <w:rFonts w:ascii="Times New Roman" w:hAnsi="Times New Roman"/>
          <w:bCs/>
          <w:sz w:val="22"/>
        </w:rPr>
      </w:pPr>
      <w:r>
        <w:rPr>
          <w:rFonts w:ascii="Times New Roman" w:hAnsi="Times New Roman"/>
          <w:b/>
          <w:bCs/>
          <w:sz w:val="22"/>
        </w:rPr>
        <w:t>Article 56</w:t>
      </w:r>
      <w:r>
        <w:rPr>
          <w:rFonts w:ascii="Times New Roman" w:hAnsi="Times New Roman"/>
          <w:b/>
          <w:bCs/>
          <w:color w:val="FF0000"/>
          <w:sz w:val="22"/>
        </w:rPr>
        <w:tab/>
      </w:r>
      <w:r>
        <w:rPr>
          <w:rFonts w:ascii="Times New Roman" w:hAnsi="Times New Roman"/>
          <w:bCs/>
          <w:sz w:val="22"/>
        </w:rPr>
        <w:t xml:space="preserve">Any violations of these </w:t>
      </w:r>
      <w:r>
        <w:rPr>
          <w:rFonts w:ascii="Times New Roman" w:hAnsi="Times New Roman"/>
          <w:bCs/>
          <w:i/>
          <w:sz w:val="22"/>
        </w:rPr>
        <w:t>Risk Management Rules</w:t>
      </w:r>
      <w:r>
        <w:rPr>
          <w:rFonts w:ascii="Times New Roman" w:hAnsi="Times New Roman"/>
          <w:bCs/>
          <w:sz w:val="22"/>
        </w:rPr>
        <w:t xml:space="preserve"> will be handled by the Exchange in accordance with these </w:t>
      </w:r>
      <w:r>
        <w:rPr>
          <w:rFonts w:ascii="Times New Roman" w:hAnsi="Times New Roman"/>
          <w:bCs/>
          <w:i/>
          <w:sz w:val="22"/>
        </w:rPr>
        <w:t>Risk Management Rules</w:t>
      </w:r>
      <w:r>
        <w:rPr>
          <w:rFonts w:ascii="Times New Roman" w:hAnsi="Times New Roman"/>
          <w:bCs/>
          <w:sz w:val="22"/>
        </w:rPr>
        <w:t xml:space="preserve"> </w:t>
      </w:r>
      <w:r>
        <w:rPr>
          <w:rFonts w:hint="eastAsia" w:ascii="Times New Roman" w:hAnsi="Times New Roman"/>
          <w:bCs/>
          <w:sz w:val="22"/>
        </w:rPr>
        <w:t xml:space="preserve">and </w:t>
      </w:r>
      <w:r>
        <w:rPr>
          <w:rFonts w:ascii="Times New Roman" w:hAnsi="Times New Roman"/>
          <w:bCs/>
          <w:sz w:val="22"/>
        </w:rPr>
        <w:t xml:space="preserve">the </w:t>
      </w:r>
      <w:r>
        <w:rPr>
          <w:rFonts w:ascii="Times New Roman" w:hAnsi="Times New Roman"/>
          <w:bCs/>
          <w:i/>
          <w:iCs/>
          <w:sz w:val="22"/>
        </w:rPr>
        <w:t>Enforcement Rules of the Shanghai Futures Exchange</w:t>
      </w:r>
      <w:r>
        <w:rPr>
          <w:rFonts w:ascii="Times New Roman" w:hAnsi="Times New Roman"/>
          <w:bCs/>
          <w:sz w:val="22"/>
        </w:rPr>
        <w:t>.</w:t>
      </w:r>
    </w:p>
    <w:p>
      <w:pPr>
        <w:widowControl/>
        <w:adjustRightInd w:val="0"/>
        <w:snapToGrid w:val="0"/>
        <w:spacing w:after="312" w:afterLines="100" w:line="276" w:lineRule="auto"/>
        <w:ind w:right="179"/>
        <w:jc w:val="left"/>
        <w:rPr>
          <w:rFonts w:ascii="Times New Roman" w:hAnsi="Times New Roman"/>
          <w:sz w:val="22"/>
        </w:rPr>
      </w:pPr>
      <w:r>
        <w:rPr>
          <w:rFonts w:ascii="Times New Roman" w:hAnsi="Times New Roman"/>
          <w:b/>
          <w:bCs/>
          <w:sz w:val="22"/>
        </w:rPr>
        <w:t>Article 5</w:t>
      </w:r>
      <w:r>
        <w:rPr>
          <w:rFonts w:hint="eastAsia" w:ascii="Times New Roman" w:hAnsi="Times New Roman"/>
          <w:b/>
          <w:bCs/>
          <w:sz w:val="22"/>
        </w:rPr>
        <w:t>7</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iCs/>
          <w:sz w:val="22"/>
        </w:rPr>
        <w:t>Risk Management Rules</w:t>
      </w:r>
      <w:r>
        <w:rPr>
          <w:rFonts w:ascii="Times New Roman" w:hAnsi="Times New Roman"/>
          <w:sz w:val="22"/>
        </w:rPr>
        <w:t>.</w:t>
      </w:r>
    </w:p>
    <w:p>
      <w:pPr>
        <w:widowControl/>
        <w:adjustRightInd w:val="0"/>
        <w:snapToGrid w:val="0"/>
        <w:spacing w:after="312" w:afterLines="100" w:line="276" w:lineRule="auto"/>
        <w:ind w:right="179"/>
        <w:jc w:val="left"/>
        <w:rPr>
          <w:rFonts w:ascii="Times New Roman" w:hAnsi="Times New Roman"/>
          <w:sz w:val="22"/>
        </w:rPr>
      </w:pPr>
      <w:r>
        <w:rPr>
          <w:rFonts w:ascii="Times New Roman" w:hAnsi="Times New Roman"/>
          <w:b/>
          <w:bCs/>
          <w:sz w:val="22"/>
        </w:rPr>
        <w:t>Article 5</w:t>
      </w:r>
      <w:r>
        <w:rPr>
          <w:rFonts w:hint="eastAsia" w:ascii="Times New Roman" w:hAnsi="Times New Roman"/>
          <w:b/>
          <w:bCs/>
          <w:sz w:val="22"/>
        </w:rPr>
        <w:t>8</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Risk Management Rules</w:t>
      </w:r>
      <w:r>
        <w:rPr>
          <w:rFonts w:ascii="Times New Roman" w:hAnsi="Times New Roman"/>
          <w:sz w:val="22"/>
        </w:rPr>
        <w:t xml:space="preserve"> </w:t>
      </w:r>
      <w:r>
        <w:rPr>
          <w:rFonts w:hint="eastAsia" w:ascii="Times New Roman" w:hAnsi="Times New Roman"/>
          <w:sz w:val="22"/>
        </w:rPr>
        <w:t xml:space="preserve">take effect on </w:t>
      </w:r>
      <w:r>
        <w:rPr>
          <w:rFonts w:ascii="Times New Roman" w:hAnsi="Times New Roman"/>
          <w:sz w:val="22"/>
        </w:rPr>
        <w:t>October 23, 2024.</w:t>
      </w:r>
    </w:p>
    <w:p>
      <w:pPr>
        <w:widowControl/>
        <w:adjustRightInd w:val="0"/>
        <w:snapToGrid w:val="0"/>
        <w:spacing w:after="312" w:afterLines="100" w:line="276" w:lineRule="auto"/>
        <w:ind w:right="179"/>
        <w:jc w:val="left"/>
        <w:rPr>
          <w:rFonts w:ascii="Times New Roman" w:hAnsi="Times New Roman"/>
          <w:sz w:val="22"/>
        </w:rPr>
      </w:pPr>
    </w:p>
    <w:p>
      <w:pPr>
        <w:widowControl/>
        <w:adjustRightInd w:val="0"/>
        <w:snapToGrid w:val="0"/>
        <w:spacing w:after="312" w:afterLines="100" w:line="276" w:lineRule="auto"/>
        <w:ind w:right="179"/>
        <w:jc w:val="left"/>
        <w:rPr>
          <w:rFonts w:ascii="Times New Roman" w:hAnsi="Times New Roman"/>
          <w:sz w:val="22"/>
        </w:rPr>
        <w:sectPr>
          <w:footerReference r:id="rId3" w:type="default"/>
          <w:pgSz w:w="11906" w:h="16838"/>
          <w:pgMar w:top="1800" w:right="1440" w:bottom="1276" w:left="1440" w:header="851" w:footer="992" w:gutter="0"/>
          <w:cols w:space="425" w:num="1"/>
          <w:docGrid w:type="lines" w:linePitch="312" w:charSpace="0"/>
        </w:sectPr>
      </w:pPr>
    </w:p>
    <w:p>
      <w:pPr>
        <w:adjustRightInd w:val="0"/>
        <w:snapToGrid w:val="0"/>
        <w:spacing w:after="100" w:line="276" w:lineRule="auto"/>
        <w:ind w:right="98"/>
        <w:jc w:val="left"/>
        <w:rPr>
          <w:rFonts w:ascii="Times New Roman" w:hAnsi="Times New Roman"/>
          <w:sz w:val="22"/>
        </w:rPr>
      </w:pPr>
      <w:r>
        <w:rPr>
          <w:rFonts w:ascii="Times New Roman" w:hAnsi="Times New Roman"/>
          <w:sz w:val="22"/>
        </w:rPr>
        <w:t>Schedule—Methods and Procedures for the Fill of Unfilled Orders</w:t>
      </w:r>
    </w:p>
    <w:p>
      <w:pPr>
        <w:adjustRightInd w:val="0"/>
        <w:snapToGrid w:val="0"/>
        <w:spacing w:after="100" w:line="276" w:lineRule="auto"/>
        <w:ind w:left="2" w:right="98"/>
        <w:jc w:val="center"/>
        <w:rPr>
          <w:rFonts w:ascii="Times New Roman" w:hAnsi="Times New Roman"/>
          <w:b/>
          <w:bCs/>
          <w:sz w:val="22"/>
        </w:rPr>
      </w:pPr>
      <w:r>
        <w:rPr>
          <w:rFonts w:ascii="Times New Roman" w:hAnsi="Times New Roman"/>
          <w:b/>
          <w:bCs/>
          <w:sz w:val="22"/>
        </w:rPr>
        <w:t>Methods and Procedures for the Fill of Unfilled Orders in Futures Contracts</w:t>
      </w:r>
    </w:p>
    <w:tbl>
      <w:tblPr>
        <w:tblStyle w:val="10"/>
        <w:tblW w:w="8419" w:type="dxa"/>
        <w:tblInd w:w="-123" w:type="dxa"/>
        <w:tblLayout w:type="fixed"/>
        <w:tblCellMar>
          <w:top w:w="0" w:type="dxa"/>
          <w:left w:w="108" w:type="dxa"/>
          <w:bottom w:w="0" w:type="dxa"/>
          <w:right w:w="0" w:type="dxa"/>
        </w:tblCellMar>
      </w:tblPr>
      <w:tblGrid>
        <w:gridCol w:w="393"/>
        <w:gridCol w:w="1822"/>
        <w:gridCol w:w="1126"/>
        <w:gridCol w:w="1595"/>
        <w:gridCol w:w="1953"/>
        <w:gridCol w:w="1530"/>
      </w:tblGrid>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rPr>
              <w:t>Step</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rPr>
              <w:t>Scenario</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rPr>
              <w:t>Amount</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rPr>
              <w:t>Percentage</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rPr>
              <w:t>Filled to</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rPr>
              <w:t>Result</w:t>
            </w:r>
          </w:p>
        </w:tc>
      </w:tr>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1</w:t>
            </w:r>
            <w:r>
              <w:rPr>
                <w:rFonts w:ascii="Times New Roman" w:hAnsi="Times New Roman"/>
                <w:b/>
                <w:kern w:val="0"/>
                <w:sz w:val="16"/>
                <w:szCs w:val="16"/>
              </w:rPr>
              <w:t xml:space="preserve">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Positions with Gains of No Less Than R1 ≥ Unfilled Orders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Unfilled Orders</w:t>
            </w:r>
            <w:r>
              <w:rPr>
                <w:rFonts w:ascii="Times New Roman" w:hAnsi="Times New Roman"/>
                <w:b/>
                <w:kern w:val="0"/>
                <w:sz w:val="16"/>
                <w:szCs w:val="16"/>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Unfilled Orders</w:t>
            </w:r>
          </w:p>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Positions with Gains of No Less Than</w:t>
            </w:r>
            <w:r>
              <w:rPr>
                <w:rFonts w:ascii="Times New Roman" w:hAnsi="Times New Roman"/>
                <w:kern w:val="0"/>
                <w:sz w:val="16"/>
                <w:szCs w:val="16"/>
              </w:rPr>
              <w:t xml:space="preserve"> R1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ind w:right="110"/>
              <w:jc w:val="left"/>
              <w:rPr>
                <w:rFonts w:ascii="Times New Roman" w:hAnsi="Times New Roman"/>
                <w:kern w:val="0"/>
                <w:sz w:val="16"/>
                <w:szCs w:val="16"/>
              </w:rPr>
            </w:pPr>
            <w:r>
              <w:rPr>
                <w:rFonts w:ascii="Times New Roman" w:hAnsi="Times New Roman"/>
                <w:kern w:val="0"/>
                <w:sz w:val="16"/>
                <w:szCs w:val="16"/>
              </w:rPr>
              <w:t>Clients holding the Speculative Positions with Gains of No Less Than R1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Fill completed</w:t>
            </w:r>
            <w:r>
              <w:rPr>
                <w:rFonts w:ascii="Times New Roman" w:hAnsi="Times New Roman"/>
                <w:b/>
                <w:kern w:val="0"/>
                <w:sz w:val="16"/>
                <w:szCs w:val="16"/>
              </w:rPr>
              <w:t xml:space="preserve"> </w:t>
            </w:r>
          </w:p>
        </w:tc>
      </w:tr>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2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Positions with Gains of No Less Than R1&lt; Unfilled Orders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Positions with Gains of No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Less Than R1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Speculative</w:t>
            </w:r>
          </w:p>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Positions with Gains of No Less Than R1</w:t>
            </w:r>
            <w:r>
              <w:rPr>
                <w:rFonts w:ascii="Times New Roman" w:hAnsi="Times New Roman"/>
                <w:kern w:val="0"/>
                <w:sz w:val="16"/>
                <w:szCs w:val="16"/>
              </w:rPr>
              <w:t xml:space="preserve"> </w:t>
            </w:r>
            <w:r>
              <w:rPr>
                <w:rFonts w:ascii="Times New Roman" w:hAnsi="Times New Roman"/>
                <w:kern w:val="0"/>
                <w:sz w:val="16"/>
                <w:szCs w:val="16"/>
                <w:u w:val="single"/>
              </w:rPr>
              <w:t>Unfilled Orders</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Clients placing the Unfilled Orders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w:t>
            </w:r>
          </w:p>
          <w:p>
            <w:pPr>
              <w:adjustRightInd w:val="0"/>
              <w:snapToGrid w:val="0"/>
              <w:spacing w:before="31" w:beforeLines="10" w:after="31" w:afterLines="10" w:line="264" w:lineRule="auto"/>
              <w:ind w:right="109"/>
              <w:jc w:val="left"/>
              <w:rPr>
                <w:rFonts w:ascii="Times New Roman" w:hAnsi="Times New Roman"/>
                <w:kern w:val="0"/>
                <w:sz w:val="16"/>
                <w:szCs w:val="16"/>
              </w:rPr>
            </w:pPr>
            <w:r>
              <w:rPr>
                <w:rFonts w:ascii="Times New Roman" w:hAnsi="Times New Roman"/>
                <w:kern w:val="0"/>
                <w:sz w:val="16"/>
                <w:szCs w:val="16"/>
              </w:rPr>
              <w:t xml:space="preserve">Orders, if any, to be filled in the Step 3, and the Step 4 </w:t>
            </w:r>
          </w:p>
        </w:tc>
      </w:tr>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3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Positions with Gains of No Less Than </w:t>
            </w:r>
            <w:r>
              <w:rPr>
                <w:rFonts w:ascii="Times New Roman" w:hAnsi="Times New Roman"/>
                <w:bCs/>
                <w:kern w:val="0"/>
                <w:sz w:val="16"/>
                <w:szCs w:val="16"/>
              </w:rPr>
              <w:t>R2</w:t>
            </w:r>
            <w:r>
              <w:rPr>
                <w:rFonts w:ascii="Times New Roman" w:hAnsi="Times New Roman"/>
                <w:kern w:val="0"/>
                <w:sz w:val="16"/>
                <w:szCs w:val="16"/>
              </w:rPr>
              <w:t xml:space="preserve">≥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Unfilled Orders I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Orders I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tabs>
                <w:tab w:val="right" w:pos="2379"/>
              </w:tabs>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u w:val="single" w:color="000000"/>
              </w:rPr>
              <w:t>Residual Unfilled Orders I</w:t>
            </w:r>
          </w:p>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Speculative</w:t>
            </w:r>
          </w:p>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u w:val="single"/>
              </w:rPr>
              <w:t xml:space="preserve">Positions with Gains of No Less Than </w:t>
            </w:r>
            <w:r>
              <w:rPr>
                <w:rFonts w:ascii="Times New Roman" w:hAnsi="Times New Roman"/>
                <w:bCs/>
                <w:kern w:val="0"/>
                <w:sz w:val="16"/>
                <w:szCs w:val="16"/>
                <w:u w:val="single"/>
              </w:rPr>
              <w:t>R2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ind w:right="110"/>
              <w:jc w:val="left"/>
              <w:rPr>
                <w:rFonts w:ascii="Times New Roman" w:hAnsi="Times New Roman"/>
                <w:kern w:val="0"/>
                <w:sz w:val="16"/>
                <w:szCs w:val="16"/>
              </w:rPr>
            </w:pPr>
            <w:r>
              <w:rPr>
                <w:rFonts w:ascii="Times New Roman" w:hAnsi="Times New Roman"/>
                <w:kern w:val="0"/>
                <w:sz w:val="16"/>
                <w:szCs w:val="16"/>
              </w:rPr>
              <w:t xml:space="preserve">Clients holding the Speculative Positions with Gains of No Less Than </w:t>
            </w:r>
            <w:r>
              <w:rPr>
                <w:rFonts w:ascii="Times New Roman" w:hAnsi="Times New Roman"/>
                <w:bCs/>
                <w:kern w:val="0"/>
                <w:sz w:val="16"/>
                <w:szCs w:val="16"/>
              </w:rPr>
              <w:t>R2</w:t>
            </w:r>
            <w:r>
              <w:rPr>
                <w:rFonts w:ascii="Times New Roman" w:hAnsi="Times New Roman"/>
                <w:b/>
                <w:kern w:val="0"/>
                <w:sz w:val="16"/>
                <w:szCs w:val="16"/>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Fill completed </w:t>
            </w:r>
          </w:p>
        </w:tc>
      </w:tr>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4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rPr>
                <w:rFonts w:ascii="Times New Roman" w:hAnsi="Times New Roman"/>
                <w:kern w:val="0"/>
                <w:sz w:val="16"/>
                <w:szCs w:val="16"/>
              </w:rPr>
            </w:pPr>
            <w:r>
              <w:rPr>
                <w:rFonts w:ascii="Times New Roman" w:hAnsi="Times New Roman"/>
                <w:kern w:val="0"/>
                <w:sz w:val="16"/>
                <w:szCs w:val="16"/>
              </w:rPr>
              <w:t xml:space="preserve">Speculative </w:t>
            </w:r>
            <w:r>
              <w:rPr>
                <w:rFonts w:ascii="Times New Roman" w:hAnsi="Times New Roman"/>
                <w:kern w:val="0"/>
                <w:sz w:val="16"/>
                <w:szCs w:val="16"/>
              </w:rPr>
              <w:tab/>
            </w:r>
            <w:r>
              <w:rPr>
                <w:rFonts w:ascii="Times New Roman" w:hAnsi="Times New Roman"/>
                <w:kern w:val="0"/>
                <w:sz w:val="16"/>
                <w:szCs w:val="16"/>
              </w:rPr>
              <w:t xml:space="preserve">Positions </w:t>
            </w:r>
            <w:r>
              <w:rPr>
                <w:rFonts w:ascii="Times New Roman" w:hAnsi="Times New Roman"/>
                <w:kern w:val="0"/>
                <w:sz w:val="16"/>
                <w:szCs w:val="16"/>
              </w:rPr>
              <w:tab/>
            </w:r>
            <w:r>
              <w:rPr>
                <w:rFonts w:ascii="Times New Roman" w:hAnsi="Times New Roman"/>
                <w:kern w:val="0"/>
                <w:sz w:val="16"/>
                <w:szCs w:val="16"/>
              </w:rPr>
              <w:t xml:space="preserve">with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Gains No Less Than R2&lt;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Unfilled Orders I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Positions with Gains of No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Less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Than </w:t>
            </w:r>
            <w:r>
              <w:rPr>
                <w:rFonts w:ascii="Times New Roman" w:hAnsi="Times New Roman"/>
                <w:bCs/>
                <w:kern w:val="0"/>
                <w:sz w:val="16"/>
                <w:szCs w:val="16"/>
              </w:rPr>
              <w:t>R2</w:t>
            </w:r>
            <w:r>
              <w:rPr>
                <w:rFonts w:ascii="Times New Roman" w:hAnsi="Times New Roman"/>
                <w:kern w:val="0"/>
                <w:sz w:val="16"/>
                <w:szCs w:val="16"/>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Speculative Positions with</w:t>
            </w:r>
          </w:p>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u w:val="single" w:color="000000"/>
              </w:rPr>
              <w:t>Gains of No Less</w:t>
            </w:r>
            <w:r>
              <w:rPr>
                <w:rFonts w:ascii="Times New Roman" w:hAnsi="Times New Roman"/>
                <w:kern w:val="0"/>
                <w:sz w:val="16"/>
                <w:szCs w:val="16"/>
              </w:rPr>
              <w:t xml:space="preserve"> </w:t>
            </w:r>
            <w:r>
              <w:rPr>
                <w:rFonts w:ascii="Times New Roman" w:hAnsi="Times New Roman"/>
                <w:kern w:val="0"/>
                <w:sz w:val="16"/>
                <w:szCs w:val="16"/>
                <w:u w:val="single" w:color="000000"/>
              </w:rPr>
              <w:t xml:space="preserve">Than </w:t>
            </w:r>
            <w:r>
              <w:rPr>
                <w:rFonts w:ascii="Times New Roman" w:hAnsi="Times New Roman"/>
                <w:bCs/>
                <w:kern w:val="0"/>
                <w:sz w:val="16"/>
                <w:szCs w:val="16"/>
                <w:u w:val="single" w:color="000000"/>
              </w:rPr>
              <w:t>R2</w:t>
            </w:r>
          </w:p>
          <w:p>
            <w:pPr>
              <w:tabs>
                <w:tab w:val="right" w:pos="2379"/>
              </w:tabs>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Residual Unfilled</w:t>
            </w:r>
          </w:p>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u w:val="single"/>
              </w:rPr>
              <w:t>Orders I</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Clients placing the Residual Unfilled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Orders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w:t>
            </w:r>
          </w:p>
          <w:p>
            <w:pPr>
              <w:adjustRightInd w:val="0"/>
              <w:snapToGrid w:val="0"/>
              <w:spacing w:before="31" w:beforeLines="10" w:after="31" w:afterLines="10" w:line="264" w:lineRule="auto"/>
              <w:ind w:right="109"/>
              <w:jc w:val="left"/>
              <w:rPr>
                <w:rFonts w:ascii="Times New Roman" w:hAnsi="Times New Roman"/>
                <w:kern w:val="0"/>
                <w:sz w:val="16"/>
                <w:szCs w:val="16"/>
              </w:rPr>
            </w:pPr>
            <w:r>
              <w:rPr>
                <w:rFonts w:ascii="Times New Roman" w:hAnsi="Times New Roman"/>
                <w:kern w:val="0"/>
                <w:sz w:val="16"/>
                <w:szCs w:val="16"/>
              </w:rPr>
              <w:t xml:space="preserve">Orders, if any, to be filled in the Step 5, and the Step 6 </w:t>
            </w:r>
          </w:p>
        </w:tc>
      </w:tr>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5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Positions with Gains of Less Than R2≥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Unfilled Orders II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Orders II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tabs>
                <w:tab w:val="right" w:pos="2379"/>
              </w:tabs>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Residual Unfilled Orders II</w:t>
            </w:r>
          </w:p>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 xml:space="preserve">Speculative Positions with Gains of Less Than </w:t>
            </w:r>
            <w:r>
              <w:rPr>
                <w:rFonts w:ascii="Times New Roman" w:hAnsi="Times New Roman"/>
                <w:bCs/>
                <w:kern w:val="0"/>
                <w:sz w:val="16"/>
                <w:szCs w:val="16"/>
                <w:u w:val="single"/>
              </w:rPr>
              <w:t>R2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ind w:right="108"/>
              <w:jc w:val="left"/>
              <w:rPr>
                <w:rFonts w:ascii="Times New Roman" w:hAnsi="Times New Roman"/>
                <w:kern w:val="0"/>
                <w:sz w:val="16"/>
                <w:szCs w:val="16"/>
              </w:rPr>
            </w:pPr>
            <w:r>
              <w:rPr>
                <w:rFonts w:ascii="Times New Roman" w:hAnsi="Times New Roman"/>
                <w:kern w:val="0"/>
                <w:sz w:val="16"/>
                <w:szCs w:val="16"/>
              </w:rPr>
              <w:t xml:space="preserve">Clients holding the Speculative Positions with Gains of Less Than </w:t>
            </w:r>
            <w:r>
              <w:rPr>
                <w:rFonts w:ascii="Times New Roman" w:hAnsi="Times New Roman"/>
                <w:bCs/>
                <w:kern w:val="0"/>
                <w:sz w:val="16"/>
                <w:szCs w:val="16"/>
              </w:rPr>
              <w:t>R2</w:t>
            </w:r>
            <w:r>
              <w:rPr>
                <w:rFonts w:ascii="Times New Roman" w:hAnsi="Times New Roman"/>
                <w:kern w:val="0"/>
                <w:sz w:val="16"/>
                <w:szCs w:val="16"/>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Fill completed </w:t>
            </w:r>
          </w:p>
        </w:tc>
      </w:tr>
      <w:tr>
        <w:tblPrEx>
          <w:tblCellMar>
            <w:top w:w="0" w:type="dxa"/>
            <w:left w:w="108" w:type="dxa"/>
            <w:bottom w:w="0" w:type="dxa"/>
            <w:right w:w="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6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Positions with Gains of Less Than </w:t>
            </w:r>
            <w:r>
              <w:rPr>
                <w:rFonts w:ascii="Times New Roman" w:hAnsi="Times New Roman"/>
                <w:bCs/>
                <w:kern w:val="0"/>
                <w:sz w:val="16"/>
                <w:szCs w:val="16"/>
              </w:rPr>
              <w:t>R2</w:t>
            </w:r>
            <w:r>
              <w:rPr>
                <w:rFonts w:ascii="Times New Roman" w:hAnsi="Times New Roman"/>
                <w:kern w:val="0"/>
                <w:sz w:val="16"/>
                <w:szCs w:val="16"/>
              </w:rPr>
              <w:t xml:space="preserve"> &lt;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Unfilled Orders II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Speculative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Positions with Gains of Less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Than </w:t>
            </w:r>
            <w:r>
              <w:rPr>
                <w:rFonts w:ascii="Times New Roman" w:hAnsi="Times New Roman"/>
                <w:bCs/>
                <w:kern w:val="0"/>
                <w:sz w:val="16"/>
                <w:szCs w:val="16"/>
              </w:rPr>
              <w:t>R2</w:t>
            </w:r>
            <w:r>
              <w:rPr>
                <w:rFonts w:ascii="Times New Roman" w:hAnsi="Times New Roman"/>
                <w:kern w:val="0"/>
                <w:sz w:val="16"/>
                <w:szCs w:val="16"/>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 xml:space="preserve">Speculative Positions </w:t>
            </w:r>
            <w:r>
              <w:rPr>
                <w:rFonts w:ascii="Times New Roman" w:hAnsi="Times New Roman"/>
                <w:kern w:val="0"/>
                <w:sz w:val="16"/>
                <w:szCs w:val="16"/>
                <w:u w:val="single" w:color="000000"/>
              </w:rPr>
              <w:t>With Gains of L</w:t>
            </w:r>
            <w:r>
              <w:rPr>
                <w:rFonts w:ascii="Times New Roman" w:hAnsi="Times New Roman"/>
                <w:kern w:val="0"/>
                <w:sz w:val="16"/>
                <w:szCs w:val="16"/>
                <w:u w:val="single"/>
              </w:rPr>
              <w:t xml:space="preserve">ess Than </w:t>
            </w:r>
            <w:r>
              <w:rPr>
                <w:rFonts w:ascii="Times New Roman" w:hAnsi="Times New Roman"/>
                <w:bCs/>
                <w:kern w:val="0"/>
                <w:sz w:val="16"/>
                <w:szCs w:val="16"/>
                <w:u w:val="single"/>
              </w:rPr>
              <w:t>R2</w:t>
            </w:r>
          </w:p>
          <w:p>
            <w:pPr>
              <w:tabs>
                <w:tab w:val="right" w:pos="2379"/>
              </w:tabs>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Residual Unfilled Orders II</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Clients placing the Residual Unfilled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Orders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w:t>
            </w:r>
          </w:p>
          <w:p>
            <w:pPr>
              <w:adjustRightInd w:val="0"/>
              <w:snapToGrid w:val="0"/>
              <w:spacing w:before="31" w:beforeLines="10" w:after="31" w:afterLines="10" w:line="264" w:lineRule="auto"/>
              <w:ind w:right="109"/>
              <w:jc w:val="left"/>
              <w:rPr>
                <w:rFonts w:ascii="Times New Roman" w:hAnsi="Times New Roman"/>
                <w:kern w:val="0"/>
                <w:sz w:val="16"/>
                <w:szCs w:val="16"/>
              </w:rPr>
            </w:pPr>
            <w:r>
              <w:rPr>
                <w:rFonts w:ascii="Times New Roman" w:hAnsi="Times New Roman"/>
                <w:kern w:val="0"/>
                <w:sz w:val="16"/>
                <w:szCs w:val="16"/>
              </w:rPr>
              <w:t xml:space="preserve">Orders, if any, to be filled in the Step 7, and the Step 8 </w:t>
            </w:r>
          </w:p>
        </w:tc>
      </w:tr>
      <w:tr>
        <w:tblPrEx>
          <w:tblCellMar>
            <w:top w:w="28" w:type="dxa"/>
            <w:left w:w="108" w:type="dxa"/>
            <w:bottom w:w="0" w:type="dxa"/>
            <w:right w:w="3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7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Hedging Positions with Gains of No Less Than </w:t>
            </w:r>
            <w:r>
              <w:rPr>
                <w:rFonts w:ascii="Times New Roman" w:hAnsi="Times New Roman"/>
                <w:bCs/>
                <w:kern w:val="0"/>
                <w:sz w:val="16"/>
                <w:szCs w:val="16"/>
              </w:rPr>
              <w:t>R1</w:t>
            </w:r>
            <w:r>
              <w:rPr>
                <w:rFonts w:ascii="Times New Roman" w:hAnsi="Times New Roman"/>
                <w:kern w:val="0"/>
                <w:sz w:val="16"/>
                <w:szCs w:val="16"/>
              </w:rPr>
              <w:t xml:space="preserve"> ≥ 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Orders III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Orders III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u w:val="single" w:color="000000"/>
              </w:rPr>
              <w:t>Residual Unfilled</w:t>
            </w:r>
            <w:r>
              <w:rPr>
                <w:rFonts w:ascii="Times New Roman" w:hAnsi="Times New Roman"/>
                <w:kern w:val="0"/>
                <w:sz w:val="16"/>
                <w:szCs w:val="16"/>
              </w:rPr>
              <w:t xml:space="preserve"> </w:t>
            </w:r>
            <w:r>
              <w:rPr>
                <w:rFonts w:ascii="Times New Roman" w:hAnsi="Times New Roman"/>
                <w:kern w:val="0"/>
                <w:sz w:val="16"/>
                <w:szCs w:val="16"/>
                <w:u w:val="single" w:color="000000"/>
              </w:rPr>
              <w:t>Orders III</w:t>
            </w:r>
          </w:p>
          <w:p>
            <w:pPr>
              <w:adjustRightInd w:val="0"/>
              <w:snapToGrid w:val="0"/>
              <w:spacing w:before="31" w:beforeLines="10" w:after="31" w:afterLines="10" w:line="264" w:lineRule="auto"/>
              <w:ind w:right="81"/>
              <w:jc w:val="center"/>
              <w:rPr>
                <w:rFonts w:ascii="Times New Roman" w:hAnsi="Times New Roman"/>
                <w:kern w:val="0"/>
                <w:sz w:val="16"/>
                <w:szCs w:val="16"/>
                <w:u w:val="single"/>
              </w:rPr>
            </w:pPr>
            <w:r>
              <w:rPr>
                <w:rFonts w:ascii="Times New Roman" w:hAnsi="Times New Roman"/>
                <w:kern w:val="0"/>
                <w:sz w:val="16"/>
                <w:szCs w:val="16"/>
                <w:u w:val="single"/>
              </w:rPr>
              <w:t xml:space="preserve">Hedging Positions with Gains of No Less Than </w:t>
            </w:r>
            <w:r>
              <w:rPr>
                <w:rFonts w:ascii="Times New Roman" w:hAnsi="Times New Roman"/>
                <w:bCs/>
                <w:kern w:val="0"/>
                <w:sz w:val="16"/>
                <w:szCs w:val="16"/>
                <w:u w:val="single"/>
              </w:rPr>
              <w:t>R1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ind w:right="76"/>
              <w:jc w:val="left"/>
              <w:rPr>
                <w:rFonts w:ascii="Times New Roman" w:hAnsi="Times New Roman"/>
                <w:kern w:val="0"/>
                <w:sz w:val="16"/>
                <w:szCs w:val="16"/>
              </w:rPr>
            </w:pPr>
            <w:r>
              <w:rPr>
                <w:rFonts w:ascii="Times New Roman" w:hAnsi="Times New Roman"/>
                <w:kern w:val="0"/>
                <w:sz w:val="16"/>
                <w:szCs w:val="16"/>
              </w:rPr>
              <w:t xml:space="preserve">Clients holding the Hedging Positions with Gains of No Less Than </w:t>
            </w:r>
            <w:r>
              <w:rPr>
                <w:rFonts w:ascii="Times New Roman" w:hAnsi="Times New Roman"/>
                <w:bCs/>
                <w:kern w:val="0"/>
                <w:sz w:val="16"/>
                <w:szCs w:val="16"/>
              </w:rPr>
              <w:t>R1</w:t>
            </w:r>
            <w:r>
              <w:rPr>
                <w:rFonts w:ascii="Times New Roman" w:hAnsi="Times New Roman"/>
                <w:kern w:val="0"/>
                <w:sz w:val="16"/>
                <w:szCs w:val="16"/>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Fill completed </w:t>
            </w:r>
          </w:p>
        </w:tc>
      </w:tr>
      <w:tr>
        <w:tblPrEx>
          <w:tblCellMar>
            <w:top w:w="28" w:type="dxa"/>
            <w:left w:w="108" w:type="dxa"/>
            <w:bottom w:w="0" w:type="dxa"/>
            <w:right w:w="30" w:type="dxa"/>
          </w:tblCellMar>
        </w:tblPrEx>
        <w:trPr>
          <w:trHeight w:val="45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8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Hedging Positions with Gains of No Less Than </w:t>
            </w:r>
            <w:r>
              <w:rPr>
                <w:rFonts w:ascii="Times New Roman" w:hAnsi="Times New Roman"/>
                <w:bCs/>
                <w:kern w:val="0"/>
                <w:sz w:val="16"/>
                <w:szCs w:val="16"/>
              </w:rPr>
              <w:t>R1</w:t>
            </w:r>
            <w:r>
              <w:rPr>
                <w:rFonts w:ascii="Times New Roman" w:hAnsi="Times New Roman"/>
                <w:kern w:val="0"/>
                <w:sz w:val="16"/>
                <w:szCs w:val="16"/>
              </w:rPr>
              <w:t xml:space="preserve"> &lt; Residual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Unfilled Orders III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Hedging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Positions with Gains of No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Less Than </w:t>
            </w:r>
            <w:r>
              <w:rPr>
                <w:rFonts w:ascii="Times New Roman" w:hAnsi="Times New Roman"/>
                <w:bCs/>
                <w:kern w:val="0"/>
                <w:sz w:val="16"/>
                <w:szCs w:val="16"/>
              </w:rPr>
              <w:t>R1</w:t>
            </w:r>
            <w:r>
              <w:rPr>
                <w:rFonts w:ascii="Times New Roman" w:hAnsi="Times New Roman"/>
                <w:kern w:val="0"/>
                <w:sz w:val="16"/>
                <w:szCs w:val="16"/>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center"/>
              <w:rPr>
                <w:rFonts w:ascii="Times New Roman" w:hAnsi="Times New Roman"/>
                <w:kern w:val="0"/>
                <w:sz w:val="16"/>
                <w:szCs w:val="16"/>
              </w:rPr>
            </w:pPr>
            <w:r>
              <w:rPr>
                <w:rFonts w:ascii="Times New Roman" w:hAnsi="Times New Roman"/>
                <w:kern w:val="0"/>
                <w:sz w:val="16"/>
                <w:szCs w:val="16"/>
                <w:u w:val="single"/>
              </w:rPr>
              <w:t xml:space="preserve">Hedging Positions </w:t>
            </w:r>
            <w:r>
              <w:rPr>
                <w:rFonts w:ascii="Times New Roman" w:hAnsi="Times New Roman"/>
                <w:kern w:val="0"/>
                <w:sz w:val="16"/>
                <w:szCs w:val="16"/>
                <w:u w:val="single" w:color="000000"/>
              </w:rPr>
              <w:t>with Gains of No</w:t>
            </w:r>
            <w:r>
              <w:rPr>
                <w:rFonts w:ascii="Times New Roman" w:hAnsi="Times New Roman"/>
                <w:kern w:val="0"/>
                <w:sz w:val="16"/>
                <w:szCs w:val="16"/>
              </w:rPr>
              <w:t xml:space="preserve"> </w:t>
            </w:r>
            <w:r>
              <w:rPr>
                <w:rFonts w:ascii="Times New Roman" w:hAnsi="Times New Roman"/>
                <w:kern w:val="0"/>
                <w:sz w:val="16"/>
                <w:szCs w:val="16"/>
                <w:u w:val="single" w:color="000000"/>
              </w:rPr>
              <w:t xml:space="preserve">Less Than </w:t>
            </w:r>
            <w:r>
              <w:rPr>
                <w:rFonts w:ascii="Times New Roman" w:hAnsi="Times New Roman"/>
                <w:bCs/>
                <w:kern w:val="0"/>
                <w:sz w:val="16"/>
                <w:szCs w:val="16"/>
                <w:u w:val="single" w:color="000000"/>
              </w:rPr>
              <w:t>R1</w:t>
            </w:r>
          </w:p>
          <w:p>
            <w:pPr>
              <w:tabs>
                <w:tab w:val="right" w:pos="2351"/>
              </w:tabs>
              <w:adjustRightInd w:val="0"/>
              <w:snapToGrid w:val="0"/>
              <w:spacing w:before="31" w:beforeLines="10" w:after="31" w:afterLines="10" w:line="264" w:lineRule="auto"/>
              <w:jc w:val="center"/>
              <w:rPr>
                <w:rFonts w:ascii="Times New Roman" w:hAnsi="Times New Roman"/>
                <w:kern w:val="0"/>
                <w:sz w:val="16"/>
                <w:szCs w:val="16"/>
                <w:u w:val="single"/>
              </w:rPr>
            </w:pPr>
            <w:r>
              <w:rPr>
                <w:rFonts w:ascii="Times New Roman" w:hAnsi="Times New Roman"/>
                <w:kern w:val="0"/>
                <w:sz w:val="16"/>
                <w:szCs w:val="16"/>
                <w:u w:val="single"/>
              </w:rPr>
              <w:t>Residual Unfilled Orders III</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clients placing the Residual Unfilled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Orders </w:t>
            </w:r>
          </w:p>
        </w:tc>
        <w:tc>
          <w:tcPr>
            <w:tcW w:w="15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Orders not to </w:t>
            </w:r>
          </w:p>
          <w:p>
            <w:pPr>
              <w:adjustRightInd w:val="0"/>
              <w:snapToGrid w:val="0"/>
              <w:spacing w:before="31" w:beforeLines="10" w:after="31" w:afterLines="10" w:line="264" w:lineRule="auto"/>
              <w:jc w:val="left"/>
              <w:rPr>
                <w:rFonts w:ascii="Times New Roman" w:hAnsi="Times New Roman"/>
                <w:kern w:val="0"/>
                <w:sz w:val="16"/>
                <w:szCs w:val="16"/>
              </w:rPr>
            </w:pPr>
            <w:r>
              <w:rPr>
                <w:rFonts w:ascii="Times New Roman" w:hAnsi="Times New Roman"/>
                <w:kern w:val="0"/>
                <w:sz w:val="16"/>
                <w:szCs w:val="16"/>
              </w:rPr>
              <w:t xml:space="preserve">be filled at all </w:t>
            </w:r>
          </w:p>
        </w:tc>
      </w:tr>
    </w:tbl>
    <w:p>
      <w:pPr>
        <w:adjustRightInd w:val="0"/>
        <w:snapToGrid w:val="0"/>
        <w:spacing w:before="312" w:beforeLines="100" w:after="312" w:afterLines="100" w:line="276" w:lineRule="auto"/>
        <w:ind w:right="96"/>
        <w:jc w:val="left"/>
        <w:rPr>
          <w:rFonts w:ascii="Times New Roman" w:hAnsi="Times New Roman"/>
          <w:sz w:val="22"/>
        </w:rPr>
      </w:pPr>
    </w:p>
    <w:p>
      <w:pPr>
        <w:adjustRightInd w:val="0"/>
        <w:snapToGrid w:val="0"/>
        <w:spacing w:before="312" w:beforeLines="100" w:after="312" w:afterLines="100" w:line="276" w:lineRule="auto"/>
        <w:ind w:right="96"/>
        <w:jc w:val="left"/>
        <w:rPr>
          <w:rFonts w:ascii="Times New Roman" w:hAnsi="Times New Roman"/>
          <w:sz w:val="22"/>
        </w:rPr>
      </w:pPr>
      <w:r>
        <w:rPr>
          <w:rFonts w:ascii="Times New Roman" w:hAnsi="Times New Roman"/>
          <w:sz w:val="22"/>
        </w:rPr>
        <w:t xml:space="preserve">Notes: </w:t>
      </w:r>
    </w:p>
    <w:p>
      <w:pPr>
        <w:adjustRightInd w:val="0"/>
        <w:snapToGrid w:val="0"/>
        <w:spacing w:after="312" w:afterLines="100" w:line="276" w:lineRule="auto"/>
        <w:ind w:right="96"/>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 xml:space="preserve">Residual Unfilled Orders I = Unfilled Orders – Speculative Positions with Gains of No Less Than </w:t>
      </w:r>
      <w:r>
        <w:rPr>
          <w:rFonts w:ascii="Times New Roman" w:hAnsi="Times New Roman"/>
          <w:bCs/>
          <w:sz w:val="22"/>
        </w:rPr>
        <w:t>R1</w:t>
      </w:r>
      <w:r>
        <w:rPr>
          <w:rFonts w:ascii="Times New Roman" w:hAnsi="Times New Roman"/>
          <w:sz w:val="22"/>
        </w:rPr>
        <w:t xml:space="preserve">; </w:t>
      </w:r>
    </w:p>
    <w:p>
      <w:pPr>
        <w:adjustRightInd w:val="0"/>
        <w:snapToGrid w:val="0"/>
        <w:spacing w:after="312" w:afterLines="100" w:line="276" w:lineRule="auto"/>
        <w:ind w:right="96"/>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 xml:space="preserve">Residual Unfilled Orders II = Residual Unfilled Orders I – Speculative Positions with Gains of No Less Than </w:t>
      </w:r>
      <w:r>
        <w:rPr>
          <w:rFonts w:ascii="Times New Roman" w:hAnsi="Times New Roman"/>
          <w:bCs/>
          <w:sz w:val="22"/>
        </w:rPr>
        <w:t>R2</w:t>
      </w:r>
      <w:r>
        <w:rPr>
          <w:rFonts w:ascii="Times New Roman" w:hAnsi="Times New Roman"/>
          <w:sz w:val="22"/>
        </w:rPr>
        <w:t xml:space="preserve">; </w:t>
      </w:r>
    </w:p>
    <w:p>
      <w:pPr>
        <w:adjustRightInd w:val="0"/>
        <w:snapToGrid w:val="0"/>
        <w:spacing w:after="312" w:afterLines="100" w:line="276" w:lineRule="auto"/>
        <w:ind w:right="96"/>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 xml:space="preserve">Residual Unfilled Orders III = Residual Unfilled Orders II – Speculative Positions with Gains of Less Than </w:t>
      </w:r>
      <w:r>
        <w:rPr>
          <w:rFonts w:ascii="Times New Roman" w:hAnsi="Times New Roman"/>
          <w:bCs/>
          <w:sz w:val="22"/>
        </w:rPr>
        <w:t>R2</w:t>
      </w:r>
      <w:r>
        <w:rPr>
          <w:rFonts w:ascii="Times New Roman" w:hAnsi="Times New Roman"/>
          <w:sz w:val="22"/>
        </w:rPr>
        <w:t xml:space="preserve">; </w:t>
      </w:r>
    </w:p>
    <w:p>
      <w:pPr>
        <w:adjustRightInd w:val="0"/>
        <w:snapToGrid w:val="0"/>
        <w:spacing w:after="312" w:afterLines="100" w:line="276" w:lineRule="auto"/>
        <w:ind w:right="96"/>
        <w:jc w:val="left"/>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The speculative positions or the hedging Positions refer to open interest of the clients who have incurred gains on eligible positions.</w:t>
      </w:r>
    </w:p>
    <w:p>
      <w:pPr>
        <w:adjustRightInd w:val="0"/>
        <w:snapToGrid w:val="0"/>
        <w:spacing w:after="312" w:afterLines="100" w:line="276" w:lineRule="auto"/>
        <w:ind w:right="96"/>
        <w:jc w:val="center"/>
        <w:rPr>
          <w:rFonts w:ascii="Times New Roman" w:hAnsi="Times New Roman"/>
          <w:dstrike/>
          <w:sz w:val="22"/>
        </w:rPr>
      </w:pPr>
      <w:r>
        <w:rPr>
          <w:rFonts w:ascii="Times New Roman" w:hAnsi="Times New Roman"/>
          <w:sz w:val="22"/>
        </w:rPr>
        <w:br w:type="page"/>
      </w:r>
      <w:r>
        <w:rPr>
          <w:rFonts w:ascii="Times New Roman" w:hAnsi="Times New Roman"/>
          <w:b/>
          <w:bCs/>
          <w:dstrike/>
          <w:sz w:val="22"/>
        </w:rPr>
        <w:t>Methods and Procedures for the Fill of Unfilled Orders in Futures Contracts of Natural Rubber, Fuel Oil, Bitumen, Butadiene Rubber and BSKP</w:t>
      </w:r>
    </w:p>
    <w:tbl>
      <w:tblPr>
        <w:tblStyle w:val="10"/>
        <w:tblW w:w="8404" w:type="dxa"/>
        <w:tblInd w:w="-108" w:type="dxa"/>
        <w:tblLayout w:type="fixed"/>
        <w:tblCellMar>
          <w:top w:w="78" w:type="dxa"/>
          <w:left w:w="106" w:type="dxa"/>
          <w:bottom w:w="0" w:type="dxa"/>
          <w:right w:w="30" w:type="dxa"/>
        </w:tblCellMar>
      </w:tblPr>
      <w:tblGrid>
        <w:gridCol w:w="452"/>
        <w:gridCol w:w="1969"/>
        <w:gridCol w:w="1130"/>
        <w:gridCol w:w="1544"/>
        <w:gridCol w:w="1826"/>
        <w:gridCol w:w="1483"/>
      </w:tblGrid>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29"/>
              <w:jc w:val="center"/>
              <w:rPr>
                <w:rFonts w:ascii="Times New Roman" w:hAnsi="Times New Roman"/>
                <w:dstrike/>
                <w:kern w:val="0"/>
                <w:sz w:val="16"/>
                <w:szCs w:val="16"/>
              </w:rPr>
            </w:pPr>
            <w:r>
              <w:rPr>
                <w:rFonts w:ascii="Times New Roman" w:hAnsi="Times New Roman"/>
                <w:dstrike/>
                <w:kern w:val="0"/>
                <w:sz w:val="16"/>
                <w:szCs w:val="16"/>
              </w:rPr>
              <w:t>Step</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center"/>
              <w:rPr>
                <w:rFonts w:ascii="Times New Roman" w:hAnsi="Times New Roman"/>
                <w:dstrike/>
                <w:kern w:val="0"/>
                <w:sz w:val="16"/>
                <w:szCs w:val="16"/>
              </w:rPr>
            </w:pPr>
            <w:r>
              <w:rPr>
                <w:rFonts w:ascii="Times New Roman" w:hAnsi="Times New Roman"/>
                <w:dstrike/>
                <w:kern w:val="0"/>
                <w:sz w:val="16"/>
                <w:szCs w:val="16"/>
              </w:rPr>
              <w:t>Scenario</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center"/>
              <w:rPr>
                <w:rFonts w:ascii="Times New Roman" w:hAnsi="Times New Roman"/>
                <w:dstrike/>
                <w:kern w:val="0"/>
                <w:sz w:val="16"/>
                <w:szCs w:val="16"/>
              </w:rPr>
            </w:pPr>
            <w:r>
              <w:rPr>
                <w:rFonts w:ascii="Times New Roman" w:hAnsi="Times New Roman"/>
                <w:dstrike/>
                <w:kern w:val="0"/>
                <w:sz w:val="16"/>
                <w:szCs w:val="16"/>
              </w:rPr>
              <w:t>Size</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rPr>
            </w:pPr>
            <w:r>
              <w:rPr>
                <w:rFonts w:ascii="Times New Roman" w:hAnsi="Times New Roman"/>
                <w:dstrike/>
                <w:kern w:val="0"/>
                <w:sz w:val="16"/>
                <w:szCs w:val="16"/>
              </w:rPr>
              <w:t>Percentage</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center"/>
              <w:rPr>
                <w:rFonts w:ascii="Times New Roman" w:hAnsi="Times New Roman"/>
                <w:dstrike/>
                <w:kern w:val="0"/>
                <w:sz w:val="16"/>
                <w:szCs w:val="16"/>
              </w:rPr>
            </w:pPr>
            <w:r>
              <w:rPr>
                <w:rFonts w:ascii="Times New Roman" w:hAnsi="Times New Roman"/>
                <w:dstrike/>
                <w:kern w:val="0"/>
                <w:sz w:val="16"/>
                <w:szCs w:val="16"/>
              </w:rPr>
              <w:t>Filled to</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center"/>
              <w:rPr>
                <w:rFonts w:ascii="Times New Roman" w:hAnsi="Times New Roman"/>
                <w:dstrike/>
                <w:kern w:val="0"/>
                <w:sz w:val="16"/>
                <w:szCs w:val="16"/>
              </w:rPr>
            </w:pPr>
            <w:r>
              <w:rPr>
                <w:rFonts w:ascii="Times New Roman" w:hAnsi="Times New Roman"/>
                <w:dstrike/>
                <w:kern w:val="0"/>
                <w:sz w:val="16"/>
                <w:szCs w:val="16"/>
              </w:rPr>
              <w:t>Result</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1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 Speculative Positions with Gains of No Less Than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8% ≥ Unfilled Orders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Unfilled Orders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rPr>
            </w:pPr>
            <w:r>
              <w:rPr>
                <w:rFonts w:ascii="Times New Roman" w:hAnsi="Times New Roman"/>
                <w:dstrike/>
                <w:kern w:val="0"/>
                <w:sz w:val="16"/>
                <w:szCs w:val="16"/>
                <w:u w:val="single" w:color="000000"/>
              </w:rPr>
              <w:t>Unfilled Orders</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Speculative Positions with Gains of No Less Than 8%</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8"/>
              <w:jc w:val="left"/>
              <w:rPr>
                <w:rFonts w:ascii="Times New Roman" w:hAnsi="Times New Roman"/>
                <w:dstrike/>
                <w:kern w:val="0"/>
                <w:sz w:val="16"/>
                <w:szCs w:val="16"/>
              </w:rPr>
            </w:pPr>
            <w:r>
              <w:rPr>
                <w:rFonts w:ascii="Times New Roman" w:hAnsi="Times New Roman"/>
                <w:dstrike/>
                <w:kern w:val="0"/>
                <w:sz w:val="16"/>
                <w:szCs w:val="16"/>
              </w:rPr>
              <w:t xml:space="preserve">clients holding the Speculative Positions with Gains of No Less Than 8%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8"/>
              <w:jc w:val="left"/>
              <w:rPr>
                <w:rFonts w:ascii="Times New Roman" w:hAnsi="Times New Roman"/>
                <w:dstrike/>
                <w:kern w:val="0"/>
                <w:sz w:val="16"/>
                <w:szCs w:val="16"/>
              </w:rPr>
            </w:pPr>
            <w:r>
              <w:rPr>
                <w:rFonts w:ascii="Times New Roman" w:hAnsi="Times New Roman"/>
                <w:dstrike/>
                <w:kern w:val="0"/>
                <w:sz w:val="16"/>
                <w:szCs w:val="16"/>
              </w:rPr>
              <w:t>Fill completed</w:t>
            </w:r>
            <w:r>
              <w:rPr>
                <w:rFonts w:ascii="Times New Roman" w:hAnsi="Times New Roman"/>
                <w:b/>
                <w:dstrike/>
                <w:kern w:val="0"/>
                <w:sz w:val="16"/>
                <w:szCs w:val="16"/>
              </w:rPr>
              <w:t xml:space="preserve">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2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Speculative Positions with Gains of No Less Than 8%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&lt; Unfilled Orders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Speculative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Positions with Gains of No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Less Than 8%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Speculative Positions with Gains</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color="000000"/>
              </w:rPr>
              <w:t xml:space="preserve">of No Less Than 8% </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Unfilled Orders</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clients placing the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Unfilled Orders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Residual </w:t>
            </w:r>
          </w:p>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Unfilled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Orders, if any, to be filled in the Step 3, and the Step 4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3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9"/>
              <w:jc w:val="left"/>
              <w:rPr>
                <w:rFonts w:ascii="Times New Roman" w:hAnsi="Times New Roman"/>
                <w:dstrike/>
                <w:kern w:val="0"/>
                <w:sz w:val="16"/>
                <w:szCs w:val="16"/>
              </w:rPr>
            </w:pPr>
            <w:r>
              <w:rPr>
                <w:rFonts w:ascii="Times New Roman" w:hAnsi="Times New Roman"/>
                <w:dstrike/>
                <w:kern w:val="0"/>
                <w:sz w:val="16"/>
                <w:szCs w:val="16"/>
              </w:rPr>
              <w:t xml:space="preserve">Speculative Positions with Gains of No Less Than 4% ≥ Residual Unfilled Orders I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Residual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Unfilled Orders I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rPr>
            </w:pPr>
            <w:r>
              <w:rPr>
                <w:rFonts w:ascii="Times New Roman" w:hAnsi="Times New Roman"/>
                <w:dstrike/>
                <w:kern w:val="0"/>
                <w:sz w:val="16"/>
                <w:szCs w:val="16"/>
                <w:u w:val="single" w:color="000000"/>
              </w:rPr>
              <w:t>Residual Unfilled Orders I</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Speculative Positions with Gains of No Less Than 4%</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8"/>
              <w:jc w:val="left"/>
              <w:rPr>
                <w:rFonts w:ascii="Times New Roman" w:hAnsi="Times New Roman"/>
                <w:dstrike/>
                <w:kern w:val="0"/>
                <w:sz w:val="16"/>
                <w:szCs w:val="16"/>
              </w:rPr>
            </w:pPr>
            <w:r>
              <w:rPr>
                <w:rFonts w:ascii="Times New Roman" w:hAnsi="Times New Roman"/>
                <w:dstrike/>
                <w:kern w:val="0"/>
                <w:sz w:val="16"/>
                <w:szCs w:val="16"/>
              </w:rPr>
              <w:t xml:space="preserve">clients holding the Speculative Positions with Gains of No Less Than 4%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8"/>
              <w:jc w:val="left"/>
              <w:rPr>
                <w:rFonts w:ascii="Times New Roman" w:hAnsi="Times New Roman"/>
                <w:dstrike/>
                <w:kern w:val="0"/>
                <w:sz w:val="16"/>
                <w:szCs w:val="16"/>
              </w:rPr>
            </w:pPr>
            <w:r>
              <w:rPr>
                <w:rFonts w:ascii="Times New Roman" w:hAnsi="Times New Roman"/>
                <w:dstrike/>
                <w:kern w:val="0"/>
                <w:sz w:val="16"/>
                <w:szCs w:val="16"/>
              </w:rPr>
              <w:t xml:space="preserve">Fill completed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4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9"/>
              <w:jc w:val="left"/>
              <w:rPr>
                <w:rFonts w:ascii="Times New Roman" w:hAnsi="Times New Roman"/>
                <w:dstrike/>
                <w:kern w:val="0"/>
                <w:sz w:val="16"/>
                <w:szCs w:val="16"/>
              </w:rPr>
            </w:pPr>
            <w:r>
              <w:rPr>
                <w:rFonts w:ascii="Times New Roman" w:hAnsi="Times New Roman"/>
                <w:dstrike/>
                <w:kern w:val="0"/>
                <w:sz w:val="16"/>
                <w:szCs w:val="16"/>
              </w:rPr>
              <w:t xml:space="preserve">Speculative Positions with Gains of No Less Than 4% &lt; Residual Unfilled Orders I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Speculative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Positions with Gains of No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Less Than 4%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Speculative Positions with Gains</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color="000000"/>
              </w:rPr>
              <w:t xml:space="preserve">of No Less Than 4% </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Residual Unfilled Orders I</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clients placing the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Residual Unfilled Orders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Residual </w:t>
            </w:r>
          </w:p>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Unfilled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Orders, if any, to be filled in the Step 5, and the Step 6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5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9"/>
              <w:jc w:val="left"/>
              <w:rPr>
                <w:rFonts w:ascii="Times New Roman" w:hAnsi="Times New Roman"/>
                <w:dstrike/>
                <w:kern w:val="0"/>
                <w:sz w:val="16"/>
                <w:szCs w:val="16"/>
              </w:rPr>
            </w:pPr>
            <w:r>
              <w:rPr>
                <w:rFonts w:ascii="Times New Roman" w:hAnsi="Times New Roman"/>
                <w:dstrike/>
                <w:kern w:val="0"/>
                <w:sz w:val="16"/>
                <w:szCs w:val="16"/>
              </w:rPr>
              <w:t xml:space="preserve">Speculative Positions with Gains of Less Than 4% ≥ Residual Unfilled Orders II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Residual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Unfilled Orders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II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rPr>
            </w:pPr>
            <w:r>
              <w:rPr>
                <w:rFonts w:ascii="Times New Roman" w:hAnsi="Times New Roman"/>
                <w:dstrike/>
                <w:kern w:val="0"/>
                <w:sz w:val="16"/>
                <w:szCs w:val="16"/>
                <w:u w:val="single"/>
              </w:rPr>
              <w:t>Residual</w:t>
            </w:r>
            <w:r>
              <w:rPr>
                <w:rFonts w:ascii="Times New Roman" w:hAnsi="Times New Roman"/>
                <w:dstrike/>
                <w:kern w:val="0"/>
                <w:sz w:val="16"/>
                <w:szCs w:val="16"/>
                <w:u w:val="single" w:color="000000"/>
              </w:rPr>
              <w:t xml:space="preserve"> Unfilled Orders II</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Speculative Positions with</w:t>
            </w:r>
          </w:p>
          <w:p>
            <w:pPr>
              <w:adjustRightInd w:val="0"/>
              <w:snapToGrid w:val="0"/>
              <w:spacing w:line="276" w:lineRule="auto"/>
              <w:jc w:val="center"/>
              <w:rPr>
                <w:rFonts w:ascii="Times New Roman" w:hAnsi="Times New Roman"/>
                <w:dstrike/>
                <w:kern w:val="0"/>
                <w:sz w:val="16"/>
                <w:szCs w:val="16"/>
              </w:rPr>
            </w:pPr>
            <w:r>
              <w:rPr>
                <w:rFonts w:ascii="Times New Roman" w:hAnsi="Times New Roman"/>
                <w:dstrike/>
                <w:kern w:val="0"/>
                <w:sz w:val="16"/>
                <w:szCs w:val="16"/>
                <w:u w:val="single"/>
              </w:rPr>
              <w:t>Gains of Less Than 4%</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clients holding the Speculative Positions with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Gains of Less Than 4%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Fill completed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6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9"/>
              <w:jc w:val="left"/>
              <w:rPr>
                <w:rFonts w:ascii="Times New Roman" w:hAnsi="Times New Roman"/>
                <w:dstrike/>
                <w:kern w:val="0"/>
                <w:sz w:val="16"/>
                <w:szCs w:val="16"/>
              </w:rPr>
            </w:pPr>
            <w:r>
              <w:rPr>
                <w:rFonts w:ascii="Times New Roman" w:hAnsi="Times New Roman"/>
                <w:dstrike/>
                <w:kern w:val="0"/>
                <w:sz w:val="16"/>
                <w:szCs w:val="16"/>
              </w:rPr>
              <w:t xml:space="preserve">Speculative Positions with Gains of Less Than 4% &lt; Residual Unfilled Orders II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Speculative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Positions With Gains of Less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Than 4%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right="83"/>
              <w:jc w:val="center"/>
              <w:rPr>
                <w:rFonts w:ascii="Times New Roman" w:hAnsi="Times New Roman"/>
                <w:dstrike/>
                <w:kern w:val="0"/>
                <w:sz w:val="16"/>
                <w:szCs w:val="16"/>
              </w:rPr>
            </w:pPr>
            <w:r>
              <w:rPr>
                <w:rFonts w:ascii="Times New Roman" w:hAnsi="Times New Roman"/>
                <w:dstrike/>
                <w:kern w:val="0"/>
                <w:sz w:val="16"/>
                <w:szCs w:val="16"/>
                <w:u w:val="single" w:color="000000"/>
              </w:rPr>
              <w:t>Speculative Positions wit</w:t>
            </w:r>
            <w:r>
              <w:rPr>
                <w:rFonts w:ascii="Times New Roman" w:hAnsi="Times New Roman"/>
                <w:dstrike/>
                <w:kern w:val="0"/>
                <w:sz w:val="16"/>
                <w:szCs w:val="16"/>
                <w:u w:val="single"/>
              </w:rPr>
              <w:t>h G</w:t>
            </w:r>
            <w:r>
              <w:rPr>
                <w:rFonts w:ascii="Times New Roman" w:hAnsi="Times New Roman"/>
                <w:dstrike/>
                <w:kern w:val="0"/>
                <w:sz w:val="16"/>
                <w:szCs w:val="16"/>
                <w:u w:val="single" w:color="000000"/>
              </w:rPr>
              <w:t>ains of Less Than 4%</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Residual Unfilled Orders II</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clients placing the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Residual Unfilled Orders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Residual </w:t>
            </w:r>
          </w:p>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Unfilled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Orders, if any, to be filled in the Step 7, and the Step 8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7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9"/>
              <w:jc w:val="left"/>
              <w:rPr>
                <w:rFonts w:ascii="Times New Roman" w:hAnsi="Times New Roman"/>
                <w:dstrike/>
                <w:kern w:val="0"/>
                <w:sz w:val="16"/>
                <w:szCs w:val="16"/>
              </w:rPr>
            </w:pPr>
            <w:r>
              <w:rPr>
                <w:rFonts w:ascii="Times New Roman" w:hAnsi="Times New Roman"/>
                <w:dstrike/>
                <w:kern w:val="0"/>
                <w:sz w:val="16"/>
                <w:szCs w:val="16"/>
              </w:rPr>
              <w:t xml:space="preserve">Hedging Positions with Gains of No Less Than 8% ≥ Residual Unfilled Orders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III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Residual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Unfilled Orders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III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 xml:space="preserve">Residual </w:t>
            </w:r>
            <w:r>
              <w:rPr>
                <w:rFonts w:ascii="Times New Roman" w:hAnsi="Times New Roman"/>
                <w:dstrike/>
                <w:kern w:val="0"/>
                <w:sz w:val="16"/>
                <w:szCs w:val="16"/>
                <w:u w:val="single" w:color="000000"/>
              </w:rPr>
              <w:t>Unfilled Orders III</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Hedging Positions with Gains of No Less Than 8%</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8"/>
              <w:jc w:val="left"/>
              <w:rPr>
                <w:rFonts w:ascii="Times New Roman" w:hAnsi="Times New Roman"/>
                <w:dstrike/>
                <w:kern w:val="0"/>
                <w:sz w:val="16"/>
                <w:szCs w:val="16"/>
              </w:rPr>
            </w:pPr>
            <w:r>
              <w:rPr>
                <w:rFonts w:ascii="Times New Roman" w:hAnsi="Times New Roman"/>
                <w:dstrike/>
                <w:kern w:val="0"/>
                <w:sz w:val="16"/>
                <w:szCs w:val="16"/>
              </w:rPr>
              <w:t xml:space="preserve">clients holding the Hedging Positions with Gains of No Less Than 8%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8"/>
              <w:jc w:val="left"/>
              <w:rPr>
                <w:rFonts w:ascii="Times New Roman" w:hAnsi="Times New Roman"/>
                <w:dstrike/>
                <w:kern w:val="0"/>
                <w:sz w:val="16"/>
                <w:szCs w:val="16"/>
              </w:rPr>
            </w:pPr>
            <w:r>
              <w:rPr>
                <w:rFonts w:ascii="Times New Roman" w:hAnsi="Times New Roman"/>
                <w:dstrike/>
                <w:kern w:val="0"/>
                <w:sz w:val="16"/>
                <w:szCs w:val="16"/>
              </w:rPr>
              <w:t xml:space="preserve">Fill completed </w:t>
            </w:r>
          </w:p>
        </w:tc>
      </w:tr>
      <w:tr>
        <w:tblPrEx>
          <w:tblCellMar>
            <w:top w:w="78" w:type="dxa"/>
            <w:left w:w="106" w:type="dxa"/>
            <w:bottom w:w="0" w:type="dxa"/>
            <w:right w:w="30" w:type="dxa"/>
          </w:tblCellMar>
        </w:tblPrEx>
        <w:trPr>
          <w:trHeight w:val="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8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right="79"/>
              <w:jc w:val="left"/>
              <w:rPr>
                <w:rFonts w:ascii="Times New Roman" w:hAnsi="Times New Roman"/>
                <w:dstrike/>
                <w:kern w:val="0"/>
                <w:sz w:val="16"/>
                <w:szCs w:val="16"/>
              </w:rPr>
            </w:pPr>
            <w:r>
              <w:rPr>
                <w:rFonts w:ascii="Times New Roman" w:hAnsi="Times New Roman"/>
                <w:dstrike/>
                <w:kern w:val="0"/>
                <w:sz w:val="16"/>
                <w:szCs w:val="16"/>
              </w:rPr>
              <w:t xml:space="preserve"> Hedging Positions with Gains of No Less Than 8% &lt; Residual Unfilled Orders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III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Hedging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Positions with Gains of No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Less Than 8% </w:t>
            </w:r>
          </w:p>
        </w:tc>
        <w:tc>
          <w:tcPr>
            <w:tcW w:w="1544"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Hedging Positions with</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 xml:space="preserve">Gains of </w:t>
            </w:r>
            <w:r>
              <w:rPr>
                <w:rFonts w:ascii="Times New Roman" w:hAnsi="Times New Roman"/>
                <w:dstrike/>
                <w:kern w:val="0"/>
                <w:sz w:val="16"/>
                <w:szCs w:val="16"/>
                <w:u w:val="single" w:color="000000"/>
              </w:rPr>
              <w:t xml:space="preserve">No Less Than 8% </w:t>
            </w:r>
          </w:p>
          <w:p>
            <w:pPr>
              <w:adjustRightInd w:val="0"/>
              <w:snapToGrid w:val="0"/>
              <w:spacing w:line="276" w:lineRule="auto"/>
              <w:jc w:val="center"/>
              <w:rPr>
                <w:rFonts w:ascii="Times New Roman" w:hAnsi="Times New Roman"/>
                <w:dstrike/>
                <w:kern w:val="0"/>
                <w:sz w:val="16"/>
                <w:szCs w:val="16"/>
                <w:u w:val="single"/>
              </w:rPr>
            </w:pPr>
            <w:r>
              <w:rPr>
                <w:rFonts w:ascii="Times New Roman" w:hAnsi="Times New Roman"/>
                <w:dstrike/>
                <w:kern w:val="0"/>
                <w:sz w:val="16"/>
                <w:szCs w:val="16"/>
                <w:u w:val="single"/>
              </w:rPr>
              <w:t>Residual Unfilled Orders</w:t>
            </w:r>
          </w:p>
          <w:p>
            <w:pPr>
              <w:adjustRightInd w:val="0"/>
              <w:snapToGrid w:val="0"/>
              <w:spacing w:line="276" w:lineRule="auto"/>
              <w:jc w:val="center"/>
              <w:rPr>
                <w:rFonts w:ascii="Times New Roman" w:hAnsi="Times New Roman"/>
                <w:dstrike/>
                <w:kern w:val="0"/>
                <w:sz w:val="16"/>
                <w:szCs w:val="16"/>
              </w:rPr>
            </w:pPr>
            <w:r>
              <w:rPr>
                <w:rFonts w:ascii="Times New Roman" w:hAnsi="Times New Roman"/>
                <w:dstrike/>
                <w:kern w:val="0"/>
                <w:sz w:val="16"/>
                <w:szCs w:val="16"/>
                <w:u w:val="single"/>
              </w:rPr>
              <w:t>III</w:t>
            </w:r>
          </w:p>
        </w:tc>
        <w:tc>
          <w:tcPr>
            <w:tcW w:w="1826"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clients placing the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Residual Unfilled Orders </w:t>
            </w:r>
          </w:p>
        </w:tc>
        <w:tc>
          <w:tcPr>
            <w:tcW w:w="1483" w:type="dxa"/>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276" w:lineRule="auto"/>
              <w:jc w:val="left"/>
              <w:rPr>
                <w:rFonts w:ascii="Times New Roman" w:hAnsi="Times New Roman"/>
                <w:dstrike/>
                <w:kern w:val="0"/>
                <w:sz w:val="16"/>
                <w:szCs w:val="16"/>
              </w:rPr>
            </w:pPr>
            <w:r>
              <w:rPr>
                <w:rFonts w:ascii="Times New Roman" w:hAnsi="Times New Roman"/>
                <w:dstrike/>
                <w:kern w:val="0"/>
                <w:sz w:val="16"/>
                <w:szCs w:val="16"/>
              </w:rPr>
              <w:t xml:space="preserve">Orders not to </w:t>
            </w:r>
          </w:p>
          <w:p>
            <w:pPr>
              <w:adjustRightInd w:val="0"/>
              <w:snapToGrid w:val="0"/>
              <w:spacing w:line="276" w:lineRule="auto"/>
              <w:ind w:left="2"/>
              <w:jc w:val="left"/>
              <w:rPr>
                <w:rFonts w:ascii="Times New Roman" w:hAnsi="Times New Roman"/>
                <w:dstrike/>
                <w:kern w:val="0"/>
                <w:sz w:val="16"/>
                <w:szCs w:val="16"/>
              </w:rPr>
            </w:pPr>
            <w:r>
              <w:rPr>
                <w:rFonts w:ascii="Times New Roman" w:hAnsi="Times New Roman"/>
                <w:dstrike/>
                <w:kern w:val="0"/>
                <w:sz w:val="16"/>
                <w:szCs w:val="16"/>
              </w:rPr>
              <w:t xml:space="preserve">be filled at all </w:t>
            </w:r>
          </w:p>
        </w:tc>
      </w:tr>
    </w:tbl>
    <w:p>
      <w:pPr>
        <w:adjustRightInd w:val="0"/>
        <w:snapToGrid w:val="0"/>
        <w:spacing w:before="312" w:beforeLines="100" w:after="312" w:afterLines="100" w:line="276" w:lineRule="auto"/>
        <w:ind w:right="96"/>
        <w:jc w:val="left"/>
        <w:rPr>
          <w:rFonts w:ascii="Times New Roman" w:hAnsi="Times New Roman"/>
          <w:dstrike/>
          <w:sz w:val="22"/>
        </w:rPr>
      </w:pPr>
      <w:r>
        <w:rPr>
          <w:rFonts w:ascii="Times New Roman" w:hAnsi="Times New Roman"/>
          <w:dstrike/>
          <w:sz w:val="22"/>
        </w:rPr>
        <w:t xml:space="preserve">Notes: </w:t>
      </w:r>
    </w:p>
    <w:p>
      <w:pPr>
        <w:adjustRightInd w:val="0"/>
        <w:snapToGrid w:val="0"/>
        <w:spacing w:after="312" w:afterLines="100" w:line="276" w:lineRule="auto"/>
        <w:ind w:left="2" w:right="98"/>
        <w:jc w:val="left"/>
        <w:rPr>
          <w:rFonts w:ascii="Times New Roman" w:hAnsi="Times New Roman"/>
          <w:dstrike/>
          <w:sz w:val="22"/>
        </w:rPr>
      </w:pPr>
      <w:r>
        <w:rPr>
          <w:rFonts w:ascii="Times New Roman" w:hAnsi="Times New Roman"/>
          <w:dstrike/>
          <w:sz w:val="22"/>
        </w:rPr>
        <w:t>1.</w:t>
      </w:r>
      <w:r>
        <w:rPr>
          <w:rFonts w:ascii="Times New Roman" w:hAnsi="Times New Roman"/>
          <w:dstrike/>
          <w:sz w:val="22"/>
        </w:rPr>
        <w:tab/>
      </w:r>
      <w:r>
        <w:rPr>
          <w:rFonts w:ascii="Times New Roman" w:hAnsi="Times New Roman"/>
          <w:dstrike/>
          <w:sz w:val="22"/>
        </w:rPr>
        <w:t xml:space="preserve">Residual Unfilled Orders I = Unfilled Orders – Speculative Positions with Gains of No Less Than 8%; </w:t>
      </w:r>
    </w:p>
    <w:p>
      <w:pPr>
        <w:adjustRightInd w:val="0"/>
        <w:snapToGrid w:val="0"/>
        <w:spacing w:after="312" w:afterLines="100" w:line="276" w:lineRule="auto"/>
        <w:ind w:left="2" w:right="98"/>
        <w:jc w:val="left"/>
        <w:rPr>
          <w:rFonts w:ascii="Times New Roman" w:hAnsi="Times New Roman"/>
          <w:dstrike/>
          <w:sz w:val="22"/>
        </w:rPr>
      </w:pPr>
      <w:r>
        <w:rPr>
          <w:rFonts w:ascii="Times New Roman" w:hAnsi="Times New Roman"/>
          <w:dstrike/>
          <w:sz w:val="22"/>
        </w:rPr>
        <w:t>2.</w:t>
      </w:r>
      <w:r>
        <w:rPr>
          <w:rFonts w:ascii="Times New Roman" w:hAnsi="Times New Roman"/>
          <w:dstrike/>
          <w:sz w:val="22"/>
        </w:rPr>
        <w:tab/>
      </w:r>
      <w:r>
        <w:rPr>
          <w:rFonts w:ascii="Times New Roman" w:hAnsi="Times New Roman"/>
          <w:dstrike/>
          <w:sz w:val="22"/>
        </w:rPr>
        <w:t xml:space="preserve">Residual Unfilled Orders II = residual Unfilled Orders I – Speculative Positions with Gains of No Less Than 4%; </w:t>
      </w:r>
    </w:p>
    <w:p>
      <w:pPr>
        <w:adjustRightInd w:val="0"/>
        <w:snapToGrid w:val="0"/>
        <w:spacing w:after="312" w:afterLines="100" w:line="276" w:lineRule="auto"/>
        <w:ind w:left="2" w:right="98"/>
        <w:jc w:val="left"/>
        <w:rPr>
          <w:rFonts w:ascii="Times New Roman" w:hAnsi="Times New Roman"/>
          <w:dstrike/>
          <w:sz w:val="22"/>
        </w:rPr>
      </w:pPr>
      <w:r>
        <w:rPr>
          <w:rFonts w:ascii="Times New Roman" w:hAnsi="Times New Roman"/>
          <w:dstrike/>
          <w:sz w:val="22"/>
        </w:rPr>
        <w:t>3.</w:t>
      </w:r>
      <w:r>
        <w:rPr>
          <w:rFonts w:ascii="Times New Roman" w:hAnsi="Times New Roman"/>
          <w:dstrike/>
          <w:sz w:val="22"/>
        </w:rPr>
        <w:tab/>
      </w:r>
      <w:r>
        <w:rPr>
          <w:rFonts w:ascii="Times New Roman" w:hAnsi="Times New Roman"/>
          <w:dstrike/>
          <w:sz w:val="22"/>
        </w:rPr>
        <w:t xml:space="preserve">Residual Unfilled Orders III = residual Unfilled Orders II –Speculative Positions with Gains of Less Than 4%; </w:t>
      </w:r>
    </w:p>
    <w:p>
      <w:pPr>
        <w:adjustRightInd w:val="0"/>
        <w:snapToGrid w:val="0"/>
        <w:spacing w:after="312" w:afterLines="100" w:line="276" w:lineRule="auto"/>
        <w:ind w:left="2" w:right="98"/>
        <w:jc w:val="left"/>
        <w:rPr>
          <w:rFonts w:ascii="Times New Roman" w:hAnsi="Times New Roman"/>
          <w:dstrike/>
          <w:sz w:val="22"/>
        </w:rPr>
      </w:pPr>
      <w:r>
        <w:rPr>
          <w:rFonts w:ascii="Times New Roman" w:hAnsi="Times New Roman"/>
          <w:dstrike/>
          <w:sz w:val="22"/>
        </w:rPr>
        <w:t>4.</w:t>
      </w:r>
      <w:r>
        <w:rPr>
          <w:rFonts w:ascii="Times New Roman" w:hAnsi="Times New Roman"/>
          <w:dstrike/>
          <w:sz w:val="22"/>
        </w:rPr>
        <w:tab/>
      </w:r>
      <w:r>
        <w:rPr>
          <w:rFonts w:ascii="Times New Roman" w:hAnsi="Times New Roman"/>
          <w:dstrike/>
          <w:sz w:val="22"/>
        </w:rPr>
        <w:t xml:space="preserve">The Speculative Positions or the Hedging Positions refer to open interest of the clients who have incurred gains on eligible positions. </w:t>
      </w:r>
    </w:p>
    <w:p>
      <w:pPr>
        <w:adjustRightInd w:val="0"/>
        <w:snapToGrid w:val="0"/>
        <w:spacing w:after="312" w:afterLines="100" w:line="276" w:lineRule="auto"/>
        <w:ind w:left="2" w:right="98"/>
        <w:jc w:val="left"/>
        <w:rPr>
          <w:rFonts w:ascii="Times New Roman" w:hAnsi="Times New Roman"/>
          <w:dstrike/>
          <w:sz w:val="22"/>
        </w:rPr>
      </w:pPr>
    </w:p>
    <w:p>
      <w:pPr>
        <w:adjustRightInd w:val="0"/>
        <w:snapToGrid w:val="0"/>
        <w:spacing w:after="312" w:afterLines="100" w:line="276" w:lineRule="auto"/>
        <w:ind w:left="2" w:right="98"/>
        <w:jc w:val="left"/>
        <w:rPr>
          <w:rFonts w:ascii="Times New Roman" w:hAnsi="Times New Roman"/>
          <w:dstrike/>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rPr>
      <w:t>55</w:t>
    </w:r>
    <w:r>
      <w:rPr>
        <w:rFonts w:ascii="Times New Roman" w:hAnsi="Times New Roman"/>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54"/>
    <w:rsid w:val="00044BDD"/>
    <w:rsid w:val="00071660"/>
    <w:rsid w:val="000A0D16"/>
    <w:rsid w:val="00114591"/>
    <w:rsid w:val="00185B12"/>
    <w:rsid w:val="001A2D68"/>
    <w:rsid w:val="001F5569"/>
    <w:rsid w:val="002537FA"/>
    <w:rsid w:val="0027531E"/>
    <w:rsid w:val="00276C0D"/>
    <w:rsid w:val="002A483E"/>
    <w:rsid w:val="002B647D"/>
    <w:rsid w:val="002C4C4D"/>
    <w:rsid w:val="002E4B15"/>
    <w:rsid w:val="003333E9"/>
    <w:rsid w:val="00350625"/>
    <w:rsid w:val="003601E3"/>
    <w:rsid w:val="00397344"/>
    <w:rsid w:val="00405DDB"/>
    <w:rsid w:val="00406F92"/>
    <w:rsid w:val="0043087D"/>
    <w:rsid w:val="004373B4"/>
    <w:rsid w:val="00482091"/>
    <w:rsid w:val="004932A1"/>
    <w:rsid w:val="004A7C6A"/>
    <w:rsid w:val="004C33FA"/>
    <w:rsid w:val="004E15B6"/>
    <w:rsid w:val="004E1F93"/>
    <w:rsid w:val="00503B1A"/>
    <w:rsid w:val="00506AAF"/>
    <w:rsid w:val="00510DF6"/>
    <w:rsid w:val="00512FFF"/>
    <w:rsid w:val="00540996"/>
    <w:rsid w:val="005447B3"/>
    <w:rsid w:val="005478E9"/>
    <w:rsid w:val="00597B22"/>
    <w:rsid w:val="005A4282"/>
    <w:rsid w:val="005A734F"/>
    <w:rsid w:val="005B6060"/>
    <w:rsid w:val="005D5BC5"/>
    <w:rsid w:val="005E25E1"/>
    <w:rsid w:val="005F0A3E"/>
    <w:rsid w:val="00600A24"/>
    <w:rsid w:val="00606E61"/>
    <w:rsid w:val="00617BBD"/>
    <w:rsid w:val="00654AF6"/>
    <w:rsid w:val="006B54B0"/>
    <w:rsid w:val="006B5876"/>
    <w:rsid w:val="00805582"/>
    <w:rsid w:val="00897A3C"/>
    <w:rsid w:val="008C2545"/>
    <w:rsid w:val="008C7ECD"/>
    <w:rsid w:val="00930472"/>
    <w:rsid w:val="00993BDC"/>
    <w:rsid w:val="009D4943"/>
    <w:rsid w:val="009D5B6C"/>
    <w:rsid w:val="009F6A3E"/>
    <w:rsid w:val="00A26C3B"/>
    <w:rsid w:val="00A31E4E"/>
    <w:rsid w:val="00A32EAD"/>
    <w:rsid w:val="00A37754"/>
    <w:rsid w:val="00A5479B"/>
    <w:rsid w:val="00A603D4"/>
    <w:rsid w:val="00A7062E"/>
    <w:rsid w:val="00A90DAF"/>
    <w:rsid w:val="00A96B01"/>
    <w:rsid w:val="00AB7A94"/>
    <w:rsid w:val="00AD0BE5"/>
    <w:rsid w:val="00AF266D"/>
    <w:rsid w:val="00B43690"/>
    <w:rsid w:val="00B47382"/>
    <w:rsid w:val="00B9624F"/>
    <w:rsid w:val="00C15AE8"/>
    <w:rsid w:val="00C24858"/>
    <w:rsid w:val="00C32642"/>
    <w:rsid w:val="00C55E5A"/>
    <w:rsid w:val="00C744C4"/>
    <w:rsid w:val="00C97716"/>
    <w:rsid w:val="00C97B40"/>
    <w:rsid w:val="00CA6FB7"/>
    <w:rsid w:val="00D07D52"/>
    <w:rsid w:val="00D1086A"/>
    <w:rsid w:val="00D12F32"/>
    <w:rsid w:val="00D27074"/>
    <w:rsid w:val="00D413FD"/>
    <w:rsid w:val="00D742F9"/>
    <w:rsid w:val="00DA2C0E"/>
    <w:rsid w:val="00DB2226"/>
    <w:rsid w:val="00DE1252"/>
    <w:rsid w:val="00DE582E"/>
    <w:rsid w:val="00DE7810"/>
    <w:rsid w:val="00DF368B"/>
    <w:rsid w:val="00E178C1"/>
    <w:rsid w:val="00E520E8"/>
    <w:rsid w:val="00E56176"/>
    <w:rsid w:val="00E835ED"/>
    <w:rsid w:val="00EB3E25"/>
    <w:rsid w:val="00F04033"/>
    <w:rsid w:val="00F34D53"/>
    <w:rsid w:val="00F74A1A"/>
    <w:rsid w:val="00F81F96"/>
    <w:rsid w:val="00F86B71"/>
    <w:rsid w:val="00FC2504"/>
    <w:rsid w:val="19644A03"/>
    <w:rsid w:val="BE5B17DD"/>
    <w:rsid w:val="EEFFD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next w:val="1"/>
    <w:link w:val="15"/>
    <w:unhideWhenUsed/>
    <w:qFormat/>
    <w:uiPriority w:val="9"/>
    <w:pPr>
      <w:keepNext/>
      <w:keepLines/>
      <w:spacing w:after="354" w:line="265" w:lineRule="auto"/>
      <w:ind w:left="10" w:hanging="10"/>
      <w:outlineLvl w:val="1"/>
    </w:pPr>
    <w:rPr>
      <w:rFonts w:ascii="Cambria" w:hAnsi="Cambria" w:eastAsia="Cambria" w:cs="Times New Roman"/>
      <w:b/>
      <w:color w:val="000000"/>
      <w:sz w:val="28"/>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rPr>
      <w:rFonts w:ascii="Times New Roman" w:hAnsi="Times New Roman" w:eastAsia="宋体" w:cs="Times New Roman"/>
      <w:kern w:val="0"/>
      <w:sz w:val="20"/>
      <w:szCs w:val="21"/>
    </w:rPr>
  </w:style>
  <w:style w:type="paragraph" w:styleId="5">
    <w:name w:val="Balloon Text"/>
    <w:basedOn w:val="1"/>
    <w:link w:val="20"/>
    <w:unhideWhenUsed/>
    <w:qFormat/>
    <w:uiPriority w:val="99"/>
    <w:rPr>
      <w:rFonts w:ascii="Calibri" w:hAnsi="Calibri" w:eastAsia="宋体" w:cs="Times New Roman"/>
      <w:kern w:val="0"/>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1"/>
    <w:unhideWhenUsed/>
    <w:qFormat/>
    <w:uiPriority w:val="99"/>
    <w:rPr>
      <w:rFonts w:ascii="Calibri" w:hAnsi="Calibri"/>
      <w:b/>
      <w:bCs/>
    </w:rPr>
  </w:style>
  <w:style w:type="table" w:styleId="11">
    <w:name w:val="Table Grid"/>
    <w:basedOn w:val="10"/>
    <w:qFormat/>
    <w:uiPriority w:val="39"/>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 w:type="character" w:customStyle="1" w:styleId="14">
    <w:name w:val="标题 1 Char"/>
    <w:basedOn w:val="12"/>
    <w:link w:val="2"/>
    <w:qFormat/>
    <w:uiPriority w:val="9"/>
    <w:rPr>
      <w:rFonts w:ascii="Times New Roman" w:hAnsi="Times New Roman" w:eastAsia="宋体" w:cs="Times New Roman"/>
      <w:b/>
      <w:bCs/>
      <w:kern w:val="44"/>
      <w:sz w:val="44"/>
      <w:szCs w:val="44"/>
    </w:rPr>
  </w:style>
  <w:style w:type="character" w:customStyle="1" w:styleId="15">
    <w:name w:val="标题 2 Char"/>
    <w:basedOn w:val="12"/>
    <w:link w:val="3"/>
    <w:qFormat/>
    <w:uiPriority w:val="9"/>
    <w:rPr>
      <w:rFonts w:ascii="Cambria" w:hAnsi="Cambria" w:eastAsia="Cambria" w:cs="Times New Roman"/>
      <w:b/>
      <w:color w:val="000000"/>
      <w:kern w:val="0"/>
      <w:sz w:val="28"/>
      <w:szCs w:val="20"/>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2"/>
    <w:link w:val="4"/>
    <w:qFormat/>
    <w:uiPriority w:val="99"/>
    <w:rPr>
      <w:rFonts w:ascii="Times New Roman" w:hAnsi="Times New Roman" w:eastAsia="宋体" w:cs="Times New Roman"/>
      <w:kern w:val="0"/>
      <w:sz w:val="20"/>
      <w:szCs w:val="21"/>
    </w:rPr>
  </w:style>
  <w:style w:type="character" w:customStyle="1" w:styleId="20">
    <w:name w:val="批注框文本 Char"/>
    <w:basedOn w:val="12"/>
    <w:link w:val="5"/>
    <w:qFormat/>
    <w:uiPriority w:val="99"/>
    <w:rPr>
      <w:rFonts w:ascii="Calibri" w:hAnsi="Calibri" w:eastAsia="宋体" w:cs="Times New Roman"/>
      <w:kern w:val="0"/>
      <w:sz w:val="18"/>
      <w:szCs w:val="18"/>
    </w:rPr>
  </w:style>
  <w:style w:type="character" w:customStyle="1" w:styleId="21">
    <w:name w:val="批注主题 Char"/>
    <w:basedOn w:val="19"/>
    <w:link w:val="9"/>
    <w:qFormat/>
    <w:uiPriority w:val="99"/>
    <w:rPr>
      <w:rFonts w:ascii="Calibri" w:hAnsi="Calibri" w:eastAsia="宋体" w:cs="Times New Roman"/>
      <w:b/>
      <w:bCs/>
      <w:kern w:val="0"/>
      <w:sz w:val="20"/>
      <w:szCs w:val="21"/>
    </w:rPr>
  </w:style>
  <w:style w:type="character" w:customStyle="1" w:styleId="22">
    <w:name w:val="批注文字 字符1"/>
    <w:semiHidden/>
    <w:qFormat/>
    <w:uiPriority w:val="99"/>
    <w:rPr>
      <w:rFonts w:ascii="Calibri" w:hAnsi="Calibri" w:eastAsia="宋体" w:cs="Times New Roman"/>
    </w:rPr>
  </w:style>
  <w:style w:type="paragraph" w:customStyle="1" w:styleId="23">
    <w:name w:val="CM21"/>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paragraph" w:customStyle="1" w:styleId="24">
    <w:name w:val="CM16"/>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szCs w:val="24"/>
    </w:rPr>
  </w:style>
  <w:style w:type="character" w:customStyle="1" w:styleId="25">
    <w:name w:val="批注主题 字符1"/>
    <w:semiHidden/>
    <w:qFormat/>
    <w:uiPriority w:val="99"/>
    <w:rPr>
      <w:rFonts w:ascii="Calibri" w:hAnsi="Calibri" w:eastAsia="宋体" w:cs="Times New Roman"/>
      <w:b/>
      <w:bCs/>
    </w:rPr>
  </w:style>
  <w:style w:type="character" w:customStyle="1" w:styleId="26">
    <w:name w:val="页码1"/>
    <w:qFormat/>
    <w:uiPriority w:val="0"/>
  </w:style>
  <w:style w:type="paragraph" w:customStyle="1" w:styleId="2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28">
    <w:name w:val="Revision1"/>
    <w:semiHidden/>
    <w:qFormat/>
    <w:uiPriority w:val="99"/>
    <w:rPr>
      <w:rFonts w:ascii="Calibri" w:hAnsi="Calibri" w:eastAsia="宋体" w:cs="Times New Roman"/>
      <w:kern w:val="2"/>
      <w:sz w:val="21"/>
      <w:szCs w:val="22"/>
      <w:lang w:val="en-US" w:eastAsia="zh-CN" w:bidi="ar-SA"/>
    </w:rPr>
  </w:style>
  <w:style w:type="table" w:customStyle="1" w:styleId="29">
    <w:name w:val="TableGrid"/>
    <w:qFormat/>
    <w:uiPriority w:val="0"/>
    <w:rPr>
      <w:rFonts w:ascii="等线" w:hAnsi="等线" w:eastAsia="等线" w:cs="Times New Roman"/>
      <w:sz w:val="22"/>
    </w:rPr>
    <w:tblPr>
      <w:tblCellMar>
        <w:top w:w="0" w:type="dxa"/>
        <w:left w:w="0" w:type="dxa"/>
        <w:bottom w:w="0" w:type="dxa"/>
        <w:right w:w="0" w:type="dxa"/>
      </w:tblCellMar>
    </w:tblPr>
  </w:style>
  <w:style w:type="paragraph" w:customStyle="1" w:styleId="30">
    <w:name w:val="修订1"/>
    <w:hidden/>
    <w:semiHidden/>
    <w:qFormat/>
    <w:uiPriority w:val="99"/>
    <w:rPr>
      <w:rFonts w:ascii="等线" w:hAnsi="等线" w:eastAsia="等线" w:cs="Times New Roman"/>
      <w:kern w:val="2"/>
      <w:sz w:val="21"/>
      <w:szCs w:val="22"/>
      <w:lang w:val="en-US" w:eastAsia="zh-CN" w:bidi="ar-SA"/>
    </w:rPr>
  </w:style>
  <w:style w:type="character" w:customStyle="1" w:styleId="31">
    <w:name w:val="DeltaView Insertion"/>
    <w:qFormat/>
    <w:uiPriority w:val="99"/>
    <w:rPr>
      <w:color w:val="0000FF"/>
      <w:u w:val="double"/>
    </w:rPr>
  </w:style>
  <w:style w:type="paragraph" w:customStyle="1" w:styleId="32">
    <w:name w:val="Default"/>
    <w:qFormat/>
    <w:uiPriority w:val="0"/>
    <w:pPr>
      <w:widowControl w:val="0"/>
      <w:autoSpaceDE w:val="0"/>
      <w:autoSpaceDN w:val="0"/>
      <w:adjustRightInd w:val="0"/>
    </w:pPr>
    <w:rPr>
      <w:rFonts w:ascii="方正大标宋简体" w:hAnsi="Times New Roman" w:eastAsia="方正大标宋简体" w:cs="方正大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56</Pages>
  <Words>17954</Words>
  <Characters>102340</Characters>
  <Lines>852</Lines>
  <Paragraphs>240</Paragraphs>
  <TotalTime>95</TotalTime>
  <ScaleCrop>false</ScaleCrop>
  <LinksUpToDate>false</LinksUpToDate>
  <CharactersWithSpaces>120054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2024-08-02T11:18:00Z</dcterms:created>
  <dc:creator>季铄人:返回拟稿人修改</dc:creator>
  <cp:lastModifiedBy>guan.zhaohui</cp:lastModifiedBy>
  <dcterms:modified xsi:type="dcterms:W3CDTF">2024-10-22T18:00:00Z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D69713D544BFA21A37761767A169BFBA</vt:lpwstr>
  </property>
</Properties>
</file>