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276" w:lineRule="auto"/>
        <w:jc w:val="center"/>
        <w:rPr>
          <w:rFonts w:ascii="Times New Roman" w:hAnsi="Times New Roman" w:eastAsia="华文中宋"/>
          <w:b/>
          <w:sz w:val="28"/>
          <w:szCs w:val="28"/>
        </w:rPr>
      </w:pPr>
      <w:bookmarkStart w:id="0" w:name="_GoBack"/>
      <w:bookmarkEnd w:id="0"/>
      <w:r>
        <w:rPr>
          <w:rFonts w:ascii="Times New Roman" w:hAnsi="Times New Roman" w:eastAsia="华文中宋"/>
          <w:b/>
          <w:sz w:val="28"/>
          <w:szCs w:val="28"/>
        </w:rPr>
        <w:t>HEDGE TRADING RULES OF THE SHANGHAI FUTURES EXCHANGE</w:t>
      </w:r>
    </w:p>
    <w:p>
      <w:pPr>
        <w:widowControl/>
        <w:adjustRightInd w:val="0"/>
        <w:snapToGrid w:val="0"/>
        <w:spacing w:after="312" w:afterLines="100" w:line="276" w:lineRule="auto"/>
        <w:jc w:val="center"/>
        <w:rPr>
          <w:rFonts w:ascii="Times New Roman" w:hAnsi="Times New Roman" w:eastAsia="华文中宋"/>
          <w:b/>
          <w:sz w:val="28"/>
          <w:szCs w:val="28"/>
        </w:rPr>
      </w:pPr>
      <w:r>
        <w:rPr>
          <w:rFonts w:ascii="Times New Roman" w:hAnsi="Times New Roman" w:eastAsia="华文中宋"/>
          <w:b/>
          <w:sz w:val="28"/>
          <w:szCs w:val="28"/>
        </w:rPr>
        <w:t>(Revised Version)</w:t>
      </w:r>
      <w:r>
        <w:rPr>
          <w:rFonts w:hint="eastAsia" w:ascii="Times New Roman" w:hAnsi="Times New Roman" w:eastAsia="华文中宋"/>
          <w:b/>
          <w:sz w:val="28"/>
          <w:szCs w:val="28"/>
        </w:rPr>
        <w:t xml:space="preserve"> </w:t>
      </w:r>
    </w:p>
    <w:p>
      <w:pPr>
        <w:widowControl/>
        <w:tabs>
          <w:tab w:val="left" w:pos="1701"/>
        </w:tabs>
        <w:adjustRightInd w:val="0"/>
        <w:snapToGrid w:val="0"/>
        <w:spacing w:after="312" w:afterLines="100" w:line="276" w:lineRule="auto"/>
        <w:jc w:val="center"/>
        <w:rPr>
          <w:rFonts w:ascii="Times New Roman" w:hAnsi="Times New Roman"/>
          <w:color w:val="000000"/>
          <w:sz w:val="22"/>
        </w:rPr>
      </w:pPr>
    </w:p>
    <w:p>
      <w:pPr>
        <w:widowControl/>
        <w:tabs>
          <w:tab w:val="left" w:pos="1701"/>
        </w:tabs>
        <w:adjustRightInd w:val="0"/>
        <w:snapToGrid w:val="0"/>
        <w:spacing w:after="312" w:afterLines="100" w:line="276" w:lineRule="auto"/>
        <w:jc w:val="center"/>
        <w:rPr>
          <w:rFonts w:ascii="Times New Roman" w:hAnsi="Times New Roman"/>
          <w:b/>
          <w:sz w:val="22"/>
        </w:rPr>
      </w:pPr>
      <w:r>
        <w:rPr>
          <w:rFonts w:ascii="Times New Roman" w:hAnsi="Times New Roman"/>
          <w:b/>
          <w:sz w:val="22"/>
        </w:rPr>
        <w:t>CHAPTER 1</w:t>
      </w:r>
      <w:r>
        <w:rPr>
          <w:rFonts w:ascii="Times New Roman" w:hAnsi="Times New Roman"/>
          <w:b/>
          <w:sz w:val="22"/>
        </w:rPr>
        <w:tab/>
      </w:r>
      <w:r>
        <w:rPr>
          <w:rFonts w:ascii="Times New Roman" w:hAnsi="Times New Roman"/>
          <w:b/>
          <w:sz w:val="22"/>
        </w:rPr>
        <w:t>GENERAL PROVISIONS</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1</w:t>
      </w:r>
      <w:r>
        <w:rPr>
          <w:rFonts w:ascii="Times New Roman" w:hAnsi="Times New Roman"/>
          <w:color w:val="000000"/>
          <w:sz w:val="22"/>
        </w:rPr>
        <w:tab/>
      </w:r>
      <w:r>
        <w:rPr>
          <w:rFonts w:ascii="Times New Roman" w:hAnsi="Times New Roman"/>
          <w:color w:val="000000"/>
          <w:sz w:val="22"/>
        </w:rPr>
        <w:t xml:space="preserve">These </w:t>
      </w:r>
      <w:r>
        <w:rPr>
          <w:rFonts w:ascii="Times New Roman" w:hAnsi="Times New Roman"/>
          <w:i/>
          <w:iCs/>
          <w:color w:val="000000"/>
          <w:sz w:val="22"/>
        </w:rPr>
        <w:t>Hedge Trading Rules</w:t>
      </w:r>
      <w:r>
        <w:rPr>
          <w:rFonts w:ascii="Times New Roman" w:hAnsi="Times New Roman"/>
          <w:color w:val="000000"/>
          <w:sz w:val="22"/>
        </w:rPr>
        <w:t xml:space="preserve"> are made in accordance with the </w:t>
      </w:r>
      <w:r>
        <w:rPr>
          <w:rFonts w:ascii="Times New Roman" w:hAnsi="Times New Roman"/>
          <w:i/>
          <w:iCs/>
          <w:color w:val="000000"/>
          <w:sz w:val="22"/>
        </w:rPr>
        <w:t>General Exchange Rules of the Shanghai Futures Exchange</w:t>
      </w:r>
      <w:r>
        <w:rPr>
          <w:rFonts w:ascii="Times New Roman" w:hAnsi="Times New Roman"/>
          <w:color w:val="000000"/>
          <w:sz w:val="22"/>
        </w:rPr>
        <w:t xml:space="preserve"> and other applicable rules to boost the hedging functions of the futures market and promote its sound development.</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2</w:t>
      </w:r>
      <w:r>
        <w:rPr>
          <w:rFonts w:ascii="Times New Roman" w:hAnsi="Times New Roman"/>
          <w:color w:val="000000"/>
          <w:sz w:val="22"/>
        </w:rPr>
        <w:tab/>
      </w:r>
      <w:r>
        <w:rPr>
          <w:rFonts w:ascii="Times New Roman" w:hAnsi="Times New Roman"/>
          <w:color w:val="000000"/>
          <w:sz w:val="22"/>
        </w:rPr>
        <w:t>Hedging positions are classified into regular month hedging positions and nearby delivery month hedging positions.</w:t>
      </w:r>
    </w:p>
    <w:p>
      <w:pPr>
        <w:adjustRightInd w:val="0"/>
        <w:snapToGrid w:val="0"/>
        <w:spacing w:after="312" w:afterLines="100" w:line="276" w:lineRule="auto"/>
        <w:jc w:val="left"/>
        <w:rPr>
          <w:rFonts w:ascii="Times New Roman" w:hAnsi="Times New Roman"/>
          <w:bCs/>
          <w:sz w:val="22"/>
        </w:rPr>
      </w:pPr>
      <w:r>
        <w:rPr>
          <w:rFonts w:ascii="Times New Roman" w:hAnsi="Times New Roman"/>
          <w:bCs/>
          <w:sz w:val="22"/>
        </w:rPr>
        <w:t>T</w:t>
      </w:r>
      <w:r>
        <w:rPr>
          <w:rFonts w:hint="eastAsia" w:ascii="Times New Roman" w:hAnsi="Times New Roman"/>
          <w:bCs/>
          <w:sz w:val="22"/>
        </w:rPr>
        <w:t xml:space="preserve">he division of regular and nearby delivery months as well as the application timelines for hedging positions during these different months shall be governed by </w:t>
      </w:r>
      <w:r>
        <w:rPr>
          <w:rFonts w:ascii="Times New Roman" w:hAnsi="Times New Roman"/>
          <w:bCs/>
          <w:sz w:val="22"/>
        </w:rPr>
        <w:t>the</w:t>
      </w:r>
      <w:r>
        <w:rPr>
          <w:rFonts w:hint="eastAsia" w:ascii="Times New Roman" w:hAnsi="Times New Roman"/>
          <w:bCs/>
          <w:sz w:val="22"/>
        </w:rPr>
        <w:t xml:space="preserve"> rules for the particular futures products.</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3</w:t>
      </w:r>
      <w:r>
        <w:rPr>
          <w:rFonts w:ascii="Times New Roman" w:hAnsi="Times New Roman"/>
          <w:color w:val="000000"/>
          <w:sz w:val="22"/>
        </w:rPr>
        <w:tab/>
      </w:r>
      <w:r>
        <w:rPr>
          <w:rFonts w:ascii="Times New Roman" w:hAnsi="Times New Roman"/>
          <w:color w:val="000000"/>
          <w:sz w:val="22"/>
        </w:rPr>
        <w:t xml:space="preserve">Members and Clients that engage in hedging activities on the Shanghai Futures Exchange (the “Exchange”) shall observe these </w:t>
      </w:r>
      <w:r>
        <w:rPr>
          <w:rFonts w:ascii="Times New Roman" w:hAnsi="Times New Roman"/>
          <w:i/>
          <w:iCs/>
          <w:color w:val="000000"/>
          <w:sz w:val="22"/>
        </w:rPr>
        <w:t>Hedge Trading Rules</w:t>
      </w:r>
      <w:r>
        <w:rPr>
          <w:rFonts w:ascii="Times New Roman" w:hAnsi="Times New Roman"/>
          <w:color w:val="000000"/>
          <w:sz w:val="22"/>
        </w:rPr>
        <w:t>.</w:t>
      </w:r>
    </w:p>
    <w:p>
      <w:pPr>
        <w:widowControl/>
        <w:tabs>
          <w:tab w:val="left" w:pos="1560"/>
        </w:tabs>
        <w:adjustRightInd w:val="0"/>
        <w:snapToGrid w:val="0"/>
        <w:spacing w:before="468" w:beforeLines="150" w:after="312" w:afterLines="100" w:line="276" w:lineRule="auto"/>
        <w:jc w:val="center"/>
        <w:rPr>
          <w:rFonts w:ascii="Times New Roman" w:hAnsi="Times New Roman"/>
          <w:b/>
          <w:sz w:val="22"/>
        </w:rPr>
      </w:pPr>
      <w:r>
        <w:rPr>
          <w:rFonts w:ascii="Times New Roman" w:hAnsi="Times New Roman"/>
          <w:b/>
          <w:sz w:val="22"/>
        </w:rPr>
        <w:t>CHAPTER 2</w:t>
      </w:r>
      <w:r>
        <w:rPr>
          <w:rFonts w:ascii="Times New Roman" w:hAnsi="Times New Roman"/>
          <w:b/>
          <w:sz w:val="22"/>
        </w:rPr>
        <w:tab/>
      </w:r>
      <w:r>
        <w:rPr>
          <w:rFonts w:ascii="Times New Roman" w:hAnsi="Times New Roman"/>
          <w:b/>
          <w:sz w:val="22"/>
        </w:rPr>
        <w:t>APPLICATION AND APPROVAL OF REGULAR MONTH HEDGING QUOTA</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4</w:t>
      </w:r>
      <w:r>
        <w:rPr>
          <w:rFonts w:ascii="Times New Roman" w:hAnsi="Times New Roman"/>
          <w:color w:val="000000"/>
          <w:sz w:val="22"/>
        </w:rPr>
        <w:tab/>
      </w:r>
      <w:r>
        <w:rPr>
          <w:rFonts w:ascii="Times New Roman" w:hAnsi="Times New Roman"/>
          <w:color w:val="000000"/>
          <w:sz w:val="22"/>
        </w:rPr>
        <w:t xml:space="preserve">Regular month hedging positions require the approval of the Exchange. Regular month hedge is classified into long hedge and short hedge. </w:t>
      </w:r>
    </w:p>
    <w:p>
      <w:pPr>
        <w:adjustRightInd w:val="0"/>
        <w:snapToGrid w:val="0"/>
        <w:spacing w:after="312" w:afterLines="100" w:line="276" w:lineRule="auto"/>
        <w:jc w:val="left"/>
        <w:rPr>
          <w:rFonts w:ascii="Times New Roman" w:hAnsi="Times New Roman" w:eastAsia="方正仿宋简体"/>
          <w:color w:val="000000"/>
          <w:sz w:val="22"/>
        </w:rPr>
      </w:pPr>
      <w:r>
        <w:rPr>
          <w:rFonts w:ascii="Times New Roman" w:hAnsi="Times New Roman"/>
          <w:color w:val="000000"/>
          <w:sz w:val="22"/>
        </w:rPr>
        <w:t>“Regular month long hedge” means taking a long hedging position in futures and call options or a short hedging position in put options; “regular month short hedge” means taking a short hedging position in futures and call options or a long hedging position in put options.</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5</w:t>
      </w:r>
      <w:r>
        <w:rPr>
          <w:rFonts w:ascii="Times New Roman" w:hAnsi="Times New Roman"/>
          <w:color w:val="000000"/>
          <w:sz w:val="22"/>
        </w:rPr>
        <w:tab/>
      </w:r>
      <w:r>
        <w:rPr>
          <w:rFonts w:ascii="Times New Roman" w:hAnsi="Times New Roman"/>
          <w:color w:val="000000"/>
          <w:sz w:val="22"/>
        </w:rPr>
        <w:t xml:space="preserve">A Client that needs a regular month hedging quota shall apply to its carrying futures firm Member (“FF Member”), which shall, after reviewing the application, complete the application procedures with the Exchange pursuant to these </w:t>
      </w:r>
      <w:r>
        <w:rPr>
          <w:rFonts w:ascii="Times New Roman" w:hAnsi="Times New Roman"/>
          <w:i/>
          <w:iCs/>
          <w:color w:val="000000"/>
          <w:sz w:val="22"/>
        </w:rPr>
        <w:t>Hedge Trading Rules</w:t>
      </w:r>
      <w:r>
        <w:rPr>
          <w:rFonts w:ascii="Times New Roman" w:hAnsi="Times New Roman"/>
          <w:color w:val="000000"/>
          <w:sz w:val="22"/>
        </w:rPr>
        <w:t xml:space="preserve">. A Non-FF Member shall complete the procedures directly with the Exchange. </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6</w:t>
      </w:r>
      <w:r>
        <w:rPr>
          <w:rFonts w:ascii="Times New Roman" w:hAnsi="Times New Roman"/>
          <w:color w:val="000000"/>
          <w:sz w:val="22"/>
        </w:rPr>
        <w:tab/>
      </w:r>
      <w:r>
        <w:rPr>
          <w:rFonts w:ascii="Times New Roman" w:hAnsi="Times New Roman"/>
          <w:color w:val="000000"/>
          <w:sz w:val="22"/>
        </w:rPr>
        <w:t xml:space="preserve">A Client or Non-FF Member applying for a regular month hedging quota shall have the production and business license of the product for hedging. </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7</w:t>
      </w:r>
      <w:r>
        <w:rPr>
          <w:rFonts w:ascii="Times New Roman" w:hAnsi="Times New Roman"/>
          <w:color w:val="000000"/>
          <w:sz w:val="22"/>
        </w:rPr>
        <w:tab/>
      </w:r>
      <w:r>
        <w:rPr>
          <w:rFonts w:ascii="Times New Roman" w:hAnsi="Times New Roman"/>
          <w:color w:val="000000"/>
          <w:sz w:val="22"/>
        </w:rPr>
        <w:t xml:space="preserve">A Member or Client applying for a regular month hedging quota shall submit the following supporting materials to the Exchange: </w:t>
      </w:r>
    </w:p>
    <w:p>
      <w:pPr>
        <w:widowControl/>
        <w:tabs>
          <w:tab w:val="left" w:pos="709"/>
        </w:tabs>
        <w:adjustRightInd w:val="0"/>
        <w:snapToGrid w:val="0"/>
        <w:spacing w:after="312" w:afterLines="100" w:line="276" w:lineRule="auto"/>
        <w:jc w:val="left"/>
        <w:rPr>
          <w:rFonts w:ascii="Times New Roman" w:hAnsi="Times New Roman"/>
          <w:color w:val="000000"/>
          <w:sz w:val="22"/>
        </w:rPr>
      </w:pPr>
      <w:r>
        <w:rPr>
          <w:rFonts w:ascii="Times New Roman" w:hAnsi="Times New Roman"/>
          <w:color w:val="000000"/>
          <w:sz w:val="22"/>
        </w:rPr>
        <w:t>(i)</w:t>
      </w:r>
      <w:r>
        <w:rPr>
          <w:rFonts w:ascii="Times New Roman" w:hAnsi="Times New Roman"/>
          <w:color w:val="000000"/>
          <w:sz w:val="22"/>
        </w:rPr>
        <w:tab/>
      </w:r>
      <w:r>
        <w:rPr>
          <w:rFonts w:ascii="Times New Roman" w:hAnsi="Times New Roman"/>
          <w:color w:val="000000"/>
          <w:sz w:val="22"/>
        </w:rPr>
        <w:t>a photocopy of the duplicate business license;</w:t>
      </w:r>
    </w:p>
    <w:p>
      <w:pPr>
        <w:widowControl/>
        <w:tabs>
          <w:tab w:val="left" w:pos="709"/>
        </w:tabs>
        <w:adjustRightInd w:val="0"/>
        <w:snapToGrid w:val="0"/>
        <w:spacing w:after="312" w:afterLines="100" w:line="276" w:lineRule="auto"/>
        <w:jc w:val="left"/>
        <w:rPr>
          <w:rFonts w:ascii="Times New Roman" w:hAnsi="Times New Roman"/>
          <w:color w:val="000000"/>
          <w:sz w:val="22"/>
        </w:rPr>
      </w:pPr>
      <w:r>
        <w:rPr>
          <w:rFonts w:ascii="Times New Roman" w:hAnsi="Times New Roman"/>
          <w:color w:val="000000"/>
          <w:sz w:val="22"/>
        </w:rPr>
        <w:t>(ii)</w:t>
      </w:r>
      <w:r>
        <w:rPr>
          <w:rFonts w:ascii="Times New Roman" w:hAnsi="Times New Roman"/>
          <w:color w:val="000000"/>
          <w:sz w:val="22"/>
        </w:rPr>
        <w:tab/>
      </w:r>
      <w:r>
        <w:rPr>
          <w:rFonts w:ascii="Times New Roman" w:hAnsi="Times New Roman"/>
          <w:color w:val="000000"/>
          <w:sz w:val="22"/>
        </w:rPr>
        <w:t>materials proving the size of the physical commodity business, such as production plan for the current year or the following year, the audited financial statements of the latest year, warrants of physicals, inventory certificates, processing orders, purchase and sales contracts, and other valid proof of its possession of physicals;</w:t>
      </w:r>
    </w:p>
    <w:p>
      <w:pPr>
        <w:widowControl/>
        <w:tabs>
          <w:tab w:val="left" w:pos="709"/>
        </w:tabs>
        <w:adjustRightInd w:val="0"/>
        <w:snapToGrid w:val="0"/>
        <w:spacing w:after="312" w:afterLines="100" w:line="276" w:lineRule="auto"/>
        <w:jc w:val="left"/>
        <w:rPr>
          <w:rFonts w:ascii="Times New Roman" w:hAnsi="Times New Roman"/>
          <w:color w:val="000000"/>
          <w:sz w:val="22"/>
        </w:rPr>
      </w:pPr>
      <w:r>
        <w:rPr>
          <w:rFonts w:ascii="Times New Roman" w:hAnsi="Times New Roman"/>
          <w:color w:val="000000"/>
          <w:sz w:val="22"/>
        </w:rPr>
        <w:t>(iii)</w:t>
      </w:r>
      <w:r>
        <w:rPr>
          <w:rFonts w:ascii="Times New Roman" w:hAnsi="Times New Roman"/>
          <w:color w:val="000000"/>
          <w:sz w:val="22"/>
        </w:rPr>
        <w:tab/>
      </w:r>
      <w:r>
        <w:rPr>
          <w:rFonts w:ascii="Times New Roman" w:hAnsi="Times New Roman"/>
          <w:color w:val="000000"/>
          <w:sz w:val="22"/>
        </w:rPr>
        <w:t xml:space="preserve">a hedging plan, mainly including analyses of the source of risks, hedging objectives, and expected volumes to be delivered or closed out; and </w:t>
      </w:r>
    </w:p>
    <w:p>
      <w:pPr>
        <w:widowControl/>
        <w:tabs>
          <w:tab w:val="left" w:pos="709"/>
        </w:tabs>
        <w:adjustRightInd w:val="0"/>
        <w:snapToGrid w:val="0"/>
        <w:spacing w:after="312" w:afterLines="100" w:line="276" w:lineRule="auto"/>
        <w:jc w:val="left"/>
        <w:rPr>
          <w:rFonts w:ascii="Times New Roman" w:hAnsi="Times New Roman"/>
          <w:color w:val="000000"/>
          <w:sz w:val="22"/>
        </w:rPr>
      </w:pPr>
      <w:r>
        <w:rPr>
          <w:rFonts w:ascii="Times New Roman" w:hAnsi="Times New Roman"/>
          <w:color w:val="000000"/>
          <w:sz w:val="22"/>
        </w:rPr>
        <w:t>(iv)</w:t>
      </w:r>
      <w:r>
        <w:rPr>
          <w:rFonts w:ascii="Times New Roman" w:hAnsi="Times New Roman"/>
          <w:color w:val="000000"/>
          <w:sz w:val="22"/>
        </w:rPr>
        <w:tab/>
      </w:r>
      <w:r>
        <w:rPr>
          <w:rFonts w:ascii="Times New Roman" w:hAnsi="Times New Roman"/>
          <w:color w:val="000000"/>
          <w:sz w:val="22"/>
        </w:rPr>
        <w:t xml:space="preserve">other supporting materials required by the Exchange. </w:t>
      </w:r>
    </w:p>
    <w:p>
      <w:pPr>
        <w:widowControl/>
        <w:tabs>
          <w:tab w:val="left" w:pos="567"/>
        </w:tabs>
        <w:adjustRightInd w:val="0"/>
        <w:snapToGrid w:val="0"/>
        <w:spacing w:after="312" w:afterLines="100" w:line="276" w:lineRule="auto"/>
        <w:jc w:val="left"/>
        <w:rPr>
          <w:rFonts w:ascii="Times New Roman" w:hAnsi="Times New Roman"/>
          <w:bCs/>
          <w:sz w:val="22"/>
        </w:rPr>
      </w:pPr>
      <w:r>
        <w:rPr>
          <w:rFonts w:ascii="Times New Roman" w:hAnsi="Times New Roman"/>
          <w:bCs/>
          <w:sz w:val="22"/>
        </w:rPr>
        <w:t>T</w:t>
      </w:r>
      <w:r>
        <w:rPr>
          <w:rFonts w:hint="eastAsia" w:ascii="Times New Roman" w:hAnsi="Times New Roman"/>
          <w:bCs/>
          <w:sz w:val="22"/>
        </w:rPr>
        <w:t xml:space="preserve">he </w:t>
      </w:r>
      <w:r>
        <w:rPr>
          <w:rFonts w:ascii="Times New Roman" w:hAnsi="Times New Roman"/>
          <w:bCs/>
          <w:sz w:val="22"/>
        </w:rPr>
        <w:t>Member or Client</w:t>
      </w:r>
      <w:r>
        <w:rPr>
          <w:rFonts w:hint="eastAsia" w:ascii="Times New Roman" w:hAnsi="Times New Roman"/>
          <w:bCs/>
          <w:sz w:val="22"/>
        </w:rPr>
        <w:t xml:space="preserve"> can apply for </w:t>
      </w:r>
      <w:r>
        <w:rPr>
          <w:rFonts w:ascii="Times New Roman" w:hAnsi="Times New Roman"/>
          <w:bCs/>
          <w:sz w:val="22"/>
        </w:rPr>
        <w:t>regular month hedging quota</w:t>
      </w:r>
      <w:r>
        <w:rPr>
          <w:rFonts w:hint="eastAsia" w:ascii="Times New Roman" w:hAnsi="Times New Roman"/>
          <w:bCs/>
          <w:sz w:val="22"/>
        </w:rPr>
        <w:t>s for multiple contracts in a single application.</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8</w:t>
      </w:r>
      <w:r>
        <w:rPr>
          <w:rFonts w:ascii="Times New Roman" w:hAnsi="Times New Roman"/>
          <w:color w:val="000000"/>
          <w:sz w:val="22"/>
        </w:rPr>
        <w:tab/>
      </w:r>
      <w:r>
        <w:rPr>
          <w:rFonts w:ascii="Times New Roman" w:hAnsi="Times New Roman"/>
          <w:color w:val="000000"/>
          <w:sz w:val="22"/>
        </w:rPr>
        <w:t xml:space="preserve">The Exchange will determine the regular month hedging quota of an applicant based on, among others, its eligibility, the product for hedging, trading direction, trading quantity, hedging period, as well as production and business scale, past business performance, and financial conditions. The regular month hedging quota shall not exceed the quantity specified in the supporting materials. </w:t>
      </w:r>
    </w:p>
    <w:p>
      <w:pPr>
        <w:widowControl/>
        <w:tabs>
          <w:tab w:val="left" w:pos="1560"/>
        </w:tabs>
        <w:adjustRightInd w:val="0"/>
        <w:snapToGrid w:val="0"/>
        <w:spacing w:before="468" w:beforeLines="150" w:after="312" w:afterLines="100" w:line="276" w:lineRule="auto"/>
        <w:jc w:val="center"/>
        <w:rPr>
          <w:rFonts w:ascii="Times New Roman" w:hAnsi="Times New Roman"/>
          <w:b/>
          <w:sz w:val="22"/>
        </w:rPr>
      </w:pPr>
      <w:r>
        <w:rPr>
          <w:rFonts w:ascii="Times New Roman" w:hAnsi="Times New Roman"/>
          <w:b/>
          <w:sz w:val="22"/>
        </w:rPr>
        <w:t>CHAPTER 3</w:t>
      </w:r>
      <w:r>
        <w:rPr>
          <w:rFonts w:ascii="Times New Roman" w:hAnsi="Times New Roman"/>
          <w:b/>
          <w:sz w:val="22"/>
        </w:rPr>
        <w:tab/>
      </w:r>
      <w:r>
        <w:rPr>
          <w:rFonts w:ascii="Times New Roman" w:hAnsi="Times New Roman"/>
          <w:b/>
          <w:sz w:val="22"/>
        </w:rPr>
        <w:t>APPLICATION AND APPROVAL OF NEARBY DELIVERY MONTH HEDGING QUOTA</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9</w:t>
      </w:r>
      <w:r>
        <w:rPr>
          <w:rFonts w:ascii="Times New Roman" w:hAnsi="Times New Roman"/>
          <w:color w:val="000000"/>
          <w:sz w:val="22"/>
        </w:rPr>
        <w:tab/>
      </w:r>
      <w:r>
        <w:rPr>
          <w:rFonts w:ascii="Times New Roman" w:hAnsi="Times New Roman"/>
          <w:color w:val="000000"/>
          <w:sz w:val="22"/>
        </w:rPr>
        <w:t>Nearby delivery month hedging positions require the approval of the Exchange. Nearby delivery month hedge is classified into long hedge and short hedge.</w:t>
      </w:r>
    </w:p>
    <w:p>
      <w:pPr>
        <w:adjustRightInd w:val="0"/>
        <w:snapToGrid w:val="0"/>
        <w:spacing w:after="312" w:afterLines="100" w:line="276" w:lineRule="auto"/>
        <w:jc w:val="left"/>
        <w:rPr>
          <w:rFonts w:ascii="Times New Roman" w:hAnsi="Times New Roman" w:eastAsia="方正仿宋简体"/>
          <w:color w:val="000000"/>
          <w:sz w:val="22"/>
        </w:rPr>
      </w:pPr>
      <w:r>
        <w:rPr>
          <w:rFonts w:ascii="Times New Roman" w:hAnsi="Times New Roman"/>
          <w:color w:val="000000"/>
          <w:sz w:val="22"/>
        </w:rPr>
        <w:t>“Nearby delivery month long hedge” means taking a long hedging position in futures and call options or a short hedging position in put options; “nearby delivery month short hedge” means taking a short hedging position in futures and call options or a long hedging position in put options.</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10</w:t>
      </w:r>
      <w:r>
        <w:rPr>
          <w:rFonts w:ascii="Times New Roman" w:hAnsi="Times New Roman"/>
          <w:color w:val="000000"/>
          <w:sz w:val="22"/>
        </w:rPr>
        <w:tab/>
      </w:r>
      <w:r>
        <w:rPr>
          <w:rFonts w:ascii="Times New Roman" w:hAnsi="Times New Roman"/>
          <w:color w:val="000000"/>
          <w:sz w:val="22"/>
        </w:rPr>
        <w:t xml:space="preserve">A Client that needs a nearby delivery month hedging quota shall apply to its carrying FF Member, which shall, after reviewing the application, complete the application procedures with the Exchange pursuant to these </w:t>
      </w:r>
      <w:r>
        <w:rPr>
          <w:rFonts w:ascii="Times New Roman" w:hAnsi="Times New Roman"/>
          <w:i/>
          <w:iCs/>
          <w:color w:val="000000"/>
          <w:sz w:val="22"/>
        </w:rPr>
        <w:t>Hedge Trading Rules</w:t>
      </w:r>
      <w:r>
        <w:rPr>
          <w:rFonts w:ascii="Times New Roman" w:hAnsi="Times New Roman"/>
          <w:color w:val="000000"/>
          <w:sz w:val="22"/>
        </w:rPr>
        <w:t xml:space="preserve">. A Non-FF Member shall complete the procedures directly with the Exchange. </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11</w:t>
      </w:r>
      <w:r>
        <w:rPr>
          <w:rFonts w:ascii="Times New Roman" w:hAnsi="Times New Roman"/>
          <w:color w:val="000000"/>
          <w:sz w:val="22"/>
        </w:rPr>
        <w:tab/>
      </w:r>
      <w:r>
        <w:rPr>
          <w:rFonts w:ascii="Times New Roman" w:hAnsi="Times New Roman"/>
          <w:color w:val="000000"/>
          <w:sz w:val="22"/>
        </w:rPr>
        <w:t xml:space="preserve">A Member or Client applying for a nearby delivery month hedging quota shall submit the following supporting materials to the Exchange: </w:t>
      </w:r>
    </w:p>
    <w:p>
      <w:pPr>
        <w:widowControl/>
        <w:tabs>
          <w:tab w:val="left" w:pos="709"/>
        </w:tabs>
        <w:adjustRightInd w:val="0"/>
        <w:snapToGrid w:val="0"/>
        <w:spacing w:after="312" w:afterLines="100" w:line="276" w:lineRule="auto"/>
        <w:jc w:val="left"/>
        <w:rPr>
          <w:rFonts w:ascii="Times New Roman" w:hAnsi="Times New Roman" w:eastAsia="方正仿宋简体"/>
          <w:color w:val="000000"/>
          <w:sz w:val="22"/>
        </w:rPr>
      </w:pPr>
      <w:r>
        <w:rPr>
          <w:rFonts w:ascii="Times New Roman" w:hAnsi="Times New Roman"/>
          <w:color w:val="000000"/>
          <w:sz w:val="22"/>
        </w:rPr>
        <w:t>(i)</w:t>
      </w:r>
      <w:r>
        <w:rPr>
          <w:rFonts w:ascii="Times New Roman" w:hAnsi="Times New Roman"/>
          <w:color w:val="000000"/>
          <w:sz w:val="22"/>
        </w:rPr>
        <w:tab/>
      </w:r>
      <w:r>
        <w:rPr>
          <w:rFonts w:ascii="Times New Roman" w:hAnsi="Times New Roman"/>
          <w:color w:val="000000"/>
          <w:sz w:val="22"/>
        </w:rPr>
        <w:t>a photocopy of the duplicate business license;</w:t>
      </w:r>
    </w:p>
    <w:p>
      <w:pPr>
        <w:widowControl/>
        <w:tabs>
          <w:tab w:val="left" w:pos="709"/>
        </w:tabs>
        <w:adjustRightInd w:val="0"/>
        <w:snapToGrid w:val="0"/>
        <w:spacing w:after="312" w:afterLines="100" w:line="276" w:lineRule="auto"/>
        <w:jc w:val="left"/>
        <w:rPr>
          <w:rFonts w:ascii="Times New Roman" w:hAnsi="Times New Roman" w:eastAsia="方正仿宋简体"/>
          <w:color w:val="000000"/>
          <w:sz w:val="22"/>
        </w:rPr>
      </w:pPr>
      <w:r>
        <w:rPr>
          <w:rFonts w:ascii="Times New Roman" w:hAnsi="Times New Roman"/>
          <w:color w:val="000000"/>
          <w:sz w:val="22"/>
        </w:rPr>
        <w:t>(ii)</w:t>
      </w:r>
      <w:r>
        <w:rPr>
          <w:rFonts w:ascii="Times New Roman" w:hAnsi="Times New Roman"/>
          <w:color w:val="000000"/>
          <w:sz w:val="22"/>
        </w:rPr>
        <w:tab/>
      </w:r>
      <w:r>
        <w:rPr>
          <w:rFonts w:ascii="Times New Roman" w:hAnsi="Times New Roman"/>
          <w:color w:val="000000"/>
          <w:sz w:val="22"/>
        </w:rPr>
        <w:t xml:space="preserve">materials proving its genuine need for nearby delivery month hedging, such as production plan for the current year or the following year, warrants of physicals, inventory certificates, processing orders, purchase and sales contracts, and other valid proof of its possession of physicals; </w:t>
      </w:r>
    </w:p>
    <w:p>
      <w:pPr>
        <w:widowControl/>
        <w:tabs>
          <w:tab w:val="left" w:pos="709"/>
        </w:tabs>
        <w:adjustRightInd w:val="0"/>
        <w:snapToGrid w:val="0"/>
        <w:spacing w:after="312" w:afterLines="100" w:line="276" w:lineRule="auto"/>
        <w:jc w:val="left"/>
        <w:rPr>
          <w:rFonts w:ascii="Times New Roman" w:hAnsi="Times New Roman" w:eastAsia="方正仿宋简体"/>
          <w:color w:val="000000"/>
          <w:sz w:val="22"/>
        </w:rPr>
      </w:pPr>
      <w:r>
        <w:rPr>
          <w:rFonts w:ascii="Times New Roman" w:hAnsi="Times New Roman"/>
          <w:color w:val="000000"/>
          <w:sz w:val="22"/>
        </w:rPr>
        <w:t>(iii)</w:t>
      </w:r>
      <w:r>
        <w:rPr>
          <w:rFonts w:ascii="Times New Roman" w:hAnsi="Times New Roman"/>
          <w:color w:val="000000"/>
          <w:sz w:val="22"/>
        </w:rPr>
        <w:tab/>
      </w:r>
      <w:r>
        <w:rPr>
          <w:rFonts w:ascii="Times New Roman" w:hAnsi="Times New Roman"/>
          <w:color w:val="000000"/>
          <w:sz w:val="22"/>
        </w:rPr>
        <w:t xml:space="preserve">a hedging plan, mainly including analyses of the source of risks, hedging objectives, and expected volumes to be delivered or closed out; and </w:t>
      </w:r>
    </w:p>
    <w:p>
      <w:pPr>
        <w:widowControl/>
        <w:tabs>
          <w:tab w:val="left" w:pos="709"/>
        </w:tabs>
        <w:adjustRightInd w:val="0"/>
        <w:snapToGrid w:val="0"/>
        <w:spacing w:after="312" w:afterLines="100" w:line="276" w:lineRule="auto"/>
        <w:jc w:val="left"/>
        <w:rPr>
          <w:rFonts w:ascii="Times New Roman" w:hAnsi="Times New Roman"/>
          <w:color w:val="000000"/>
          <w:sz w:val="22"/>
        </w:rPr>
      </w:pPr>
      <w:r>
        <w:rPr>
          <w:rFonts w:ascii="Times New Roman" w:hAnsi="Times New Roman"/>
          <w:color w:val="000000"/>
          <w:sz w:val="22"/>
        </w:rPr>
        <w:t>(iv)</w:t>
      </w:r>
      <w:r>
        <w:rPr>
          <w:rFonts w:ascii="Times New Roman" w:hAnsi="Times New Roman"/>
          <w:color w:val="000000"/>
          <w:sz w:val="22"/>
        </w:rPr>
        <w:tab/>
      </w:r>
      <w:r>
        <w:rPr>
          <w:rFonts w:ascii="Times New Roman" w:hAnsi="Times New Roman"/>
          <w:color w:val="000000"/>
          <w:sz w:val="22"/>
        </w:rPr>
        <w:t>other supporting materials required by the Exchange.</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12</w:t>
      </w:r>
      <w:r>
        <w:rPr>
          <w:rFonts w:ascii="Times New Roman" w:hAnsi="Times New Roman"/>
          <w:color w:val="000000"/>
          <w:sz w:val="22"/>
        </w:rPr>
        <w:tab/>
      </w:r>
      <w:r>
        <w:rPr>
          <w:rFonts w:ascii="Times New Roman" w:hAnsi="Times New Roman"/>
          <w:color w:val="000000"/>
          <w:sz w:val="22"/>
        </w:rPr>
        <w:t xml:space="preserve">The Exchange will determine the nearby delivery month hedging quota of a Member or Client based on, among others, its trading direction and quantity, business operation of physicals, open positions in the corresponding futures contract, inventory of deliverable commodities at a Delivery Storage Facility, and whether the futures price diverges from the physical price. The nearby delivery month hedging quota shall not exceed the quantity specified in the supporting materials. </w:t>
      </w:r>
    </w:p>
    <w:p>
      <w:pPr>
        <w:adjustRightInd w:val="0"/>
        <w:snapToGrid w:val="0"/>
        <w:spacing w:after="312" w:afterLines="100" w:line="276" w:lineRule="auto"/>
        <w:jc w:val="left"/>
        <w:rPr>
          <w:rFonts w:ascii="Times New Roman" w:hAnsi="Times New Roman"/>
          <w:color w:val="000000"/>
          <w:sz w:val="22"/>
        </w:rPr>
      </w:pPr>
      <w:r>
        <w:rPr>
          <w:rFonts w:ascii="Times New Roman" w:hAnsi="Times New Roman"/>
          <w:color w:val="000000"/>
          <w:sz w:val="22"/>
        </w:rPr>
        <w:t>The aggregate nearby delivery month hedging quotas of an applicant for all contracts during a year shall not exceed its production capacity or planned production of the year, or trading volume of the product in the last year.</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13</w:t>
      </w:r>
      <w:r>
        <w:rPr>
          <w:rFonts w:ascii="Times New Roman" w:hAnsi="Times New Roman"/>
          <w:b/>
          <w:bCs/>
          <w:color w:val="000000"/>
          <w:sz w:val="22"/>
        </w:rPr>
        <w:tab/>
      </w:r>
      <w:r>
        <w:rPr>
          <w:rFonts w:ascii="Times New Roman" w:hAnsi="Times New Roman"/>
          <w:color w:val="000000"/>
          <w:sz w:val="22"/>
        </w:rPr>
        <w:t xml:space="preserve">If a Non-FF member or Client does not obtain a nearby delivery month hedging quota of a futures contract, then when the contract enters the </w:t>
      </w:r>
      <w:r>
        <w:rPr>
          <w:rFonts w:hint="eastAsia" w:ascii="Times New Roman" w:hAnsi="Times New Roman"/>
          <w:bCs/>
          <w:color w:val="000000" w:themeColor="text1"/>
          <w:sz w:val="22"/>
          <w14:textFill>
            <w14:solidFill>
              <w14:schemeClr w14:val="tx1"/>
            </w14:solidFill>
          </w14:textFill>
        </w:rPr>
        <w:t>nearby delivery month</w:t>
      </w:r>
      <w:r>
        <w:rPr>
          <w:rFonts w:ascii="Times New Roman" w:hAnsi="Times New Roman"/>
          <w:color w:val="000000" w:themeColor="text1"/>
          <w:sz w:val="22"/>
          <w14:textFill>
            <w14:solidFill>
              <w14:schemeClr w14:val="tx1"/>
            </w14:solidFill>
          </w14:textFill>
        </w:rPr>
        <w:t>,</w:t>
      </w:r>
      <w:r>
        <w:rPr>
          <w:rFonts w:ascii="Times New Roman" w:hAnsi="Times New Roman"/>
          <w:color w:val="000000"/>
          <w:sz w:val="22"/>
        </w:rPr>
        <w:t xml:space="preserve"> the regular month hedging quota of the Non-FF member or Client will be the lower of its approved regular month hedging quota and the position limit of the product, and will be converted to its nearby delivery month hedging quota. If the Non-FF Member or Client obtains a nearby delivery month hedging quota through application after the contract enters the nearby delivery month, the approved nearby delivery month hedging quota shall apply.</w:t>
      </w:r>
    </w:p>
    <w:p>
      <w:pPr>
        <w:widowControl/>
        <w:tabs>
          <w:tab w:val="left" w:pos="1560"/>
        </w:tabs>
        <w:adjustRightInd w:val="0"/>
        <w:snapToGrid w:val="0"/>
        <w:spacing w:before="468" w:beforeLines="150" w:after="312" w:afterLines="100" w:line="276" w:lineRule="auto"/>
        <w:jc w:val="center"/>
        <w:rPr>
          <w:rFonts w:ascii="Times New Roman" w:hAnsi="Times New Roman"/>
          <w:b/>
          <w:sz w:val="22"/>
        </w:rPr>
      </w:pPr>
      <w:r>
        <w:rPr>
          <w:rFonts w:ascii="Times New Roman" w:hAnsi="Times New Roman"/>
          <w:b/>
          <w:sz w:val="22"/>
        </w:rPr>
        <w:t>CHAPTER 4</w:t>
      </w:r>
      <w:r>
        <w:rPr>
          <w:rFonts w:ascii="Times New Roman" w:hAnsi="Times New Roman"/>
          <w:b/>
          <w:sz w:val="22"/>
        </w:rPr>
        <w:tab/>
      </w:r>
      <w:r>
        <w:rPr>
          <w:rFonts w:ascii="Times New Roman" w:hAnsi="Times New Roman"/>
          <w:b/>
          <w:sz w:val="22"/>
        </w:rPr>
        <w:t>HEDGE TRADING</w:t>
      </w:r>
    </w:p>
    <w:p>
      <w:pPr>
        <w:tabs>
          <w:tab w:val="left" w:pos="1204"/>
        </w:tabs>
        <w:adjustRightInd w:val="0"/>
        <w:snapToGrid w:val="0"/>
        <w:spacing w:after="312" w:afterLines="100" w:line="276" w:lineRule="auto"/>
        <w:jc w:val="left"/>
        <w:rPr>
          <w:rFonts w:ascii="Times New Roman" w:hAnsi="Times New Roman"/>
          <w:bCs/>
          <w:sz w:val="24"/>
          <w:szCs w:val="24"/>
        </w:rPr>
      </w:pPr>
      <w:r>
        <w:rPr>
          <w:rFonts w:ascii="Times New Roman" w:hAnsi="Times New Roman"/>
          <w:b/>
          <w:bCs/>
          <w:color w:val="000000"/>
          <w:sz w:val="22"/>
        </w:rPr>
        <w:t>Article 14</w:t>
      </w:r>
      <w:r>
        <w:rPr>
          <w:rFonts w:ascii="Times New Roman" w:hAnsi="Times New Roman"/>
          <w:color w:val="000000"/>
          <w:sz w:val="22"/>
        </w:rPr>
        <w:tab/>
      </w:r>
      <w:r>
        <w:rPr>
          <w:rFonts w:ascii="Times New Roman" w:hAnsi="Times New Roman"/>
          <w:bCs/>
          <w:sz w:val="24"/>
          <w:szCs w:val="24"/>
        </w:rPr>
        <w:t xml:space="preserve">A Member or Client that is granted a hedging quota in a contract may establish hedging positions either directly by placing trading orders or by </w:t>
      </w:r>
      <w:r>
        <w:rPr>
          <w:rFonts w:hint="eastAsia" w:ascii="Times New Roman" w:hAnsi="Times New Roman"/>
          <w:bCs/>
          <w:sz w:val="24"/>
          <w:szCs w:val="24"/>
        </w:rPr>
        <w:t xml:space="preserve">confirming </w:t>
      </w:r>
      <w:r>
        <w:rPr>
          <w:rFonts w:ascii="Times New Roman" w:hAnsi="Times New Roman"/>
          <w:bCs/>
          <w:sz w:val="24"/>
          <w:szCs w:val="24"/>
        </w:rPr>
        <w:t>positions in accordance with applicable rules, in each case before the market closes on the third trading day prior to the last trading day of the contract involved in the hedge; failing which, the hedging quota will be deemed forfeited.</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15</w:t>
      </w:r>
      <w:r>
        <w:rPr>
          <w:rFonts w:ascii="Times New Roman" w:hAnsi="Times New Roman"/>
          <w:color w:val="000000"/>
          <w:sz w:val="22"/>
        </w:rPr>
        <w:tab/>
      </w:r>
      <w:r>
        <w:rPr>
          <w:rFonts w:ascii="Times New Roman" w:hAnsi="Times New Roman"/>
          <w:color w:val="000000"/>
          <w:sz w:val="22"/>
        </w:rPr>
        <w:t>In the nearby delivery months, the hedging positions in a relevant product shall be adjusted to multiples of a certain number of lots by reference to the provisions on adjusting speculative positions.</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16</w:t>
      </w:r>
      <w:r>
        <w:rPr>
          <w:rFonts w:ascii="Times New Roman" w:hAnsi="Times New Roman"/>
          <w:color w:val="000000"/>
          <w:sz w:val="22"/>
        </w:rPr>
        <w:tab/>
      </w:r>
      <w:r>
        <w:rPr>
          <w:rFonts w:ascii="Times New Roman" w:hAnsi="Times New Roman"/>
          <w:color w:val="000000"/>
          <w:sz w:val="22"/>
        </w:rPr>
        <w:t>A Member or Client that receives a nearby delivery month hedging quota and takes a short hedging position in the contract concerned may collateralize its standard warrants as trading margin for a corresponding size of the short position when the contract enters the delivery month.</w:t>
      </w:r>
    </w:p>
    <w:p>
      <w:pPr>
        <w:tabs>
          <w:tab w:val="left" w:pos="1204"/>
        </w:tabs>
        <w:adjustRightInd w:val="0"/>
        <w:snapToGrid w:val="0"/>
        <w:spacing w:after="312" w:afterLines="100" w:line="276" w:lineRule="auto"/>
        <w:jc w:val="left"/>
        <w:rPr>
          <w:rFonts w:ascii="Times New Roman" w:hAnsi="Times New Roman" w:eastAsia="方正仿宋简体"/>
          <w:color w:val="000000"/>
          <w:sz w:val="22"/>
        </w:rPr>
      </w:pPr>
      <w:r>
        <w:rPr>
          <w:rFonts w:ascii="Times New Roman" w:hAnsi="Times New Roman"/>
          <w:b/>
          <w:bCs/>
          <w:color w:val="000000"/>
          <w:sz w:val="22"/>
        </w:rPr>
        <w:t>Article 17</w:t>
      </w:r>
      <w:r>
        <w:rPr>
          <w:rFonts w:ascii="Times New Roman" w:hAnsi="Times New Roman"/>
          <w:color w:val="000000"/>
          <w:sz w:val="22"/>
        </w:rPr>
        <w:tab/>
      </w:r>
      <w:r>
        <w:rPr>
          <w:rFonts w:ascii="Times New Roman" w:hAnsi="Times New Roman"/>
          <w:color w:val="000000"/>
          <w:sz w:val="22"/>
        </w:rPr>
        <w:t>Hedging positions in an option will be converted to hedging positions in the underlying futures upon exercise of the option.</w:t>
      </w:r>
    </w:p>
    <w:p>
      <w:pPr>
        <w:widowControl/>
        <w:tabs>
          <w:tab w:val="left" w:pos="1560"/>
        </w:tabs>
        <w:adjustRightInd w:val="0"/>
        <w:snapToGrid w:val="0"/>
        <w:spacing w:before="468" w:beforeLines="150" w:after="312" w:afterLines="100" w:line="276" w:lineRule="auto"/>
        <w:jc w:val="center"/>
        <w:rPr>
          <w:rFonts w:ascii="Times New Roman" w:hAnsi="Times New Roman"/>
          <w:b/>
          <w:sz w:val="22"/>
        </w:rPr>
      </w:pPr>
      <w:r>
        <w:rPr>
          <w:rFonts w:ascii="Times New Roman" w:hAnsi="Times New Roman"/>
          <w:b/>
          <w:sz w:val="22"/>
        </w:rPr>
        <w:t>CHAPTER 5</w:t>
      </w:r>
      <w:r>
        <w:rPr>
          <w:rFonts w:ascii="Times New Roman" w:hAnsi="Times New Roman"/>
          <w:b/>
          <w:sz w:val="22"/>
        </w:rPr>
        <w:tab/>
      </w:r>
      <w:r>
        <w:rPr>
          <w:rFonts w:ascii="Times New Roman" w:hAnsi="Times New Roman"/>
          <w:b/>
          <w:sz w:val="22"/>
        </w:rPr>
        <w:t>REGULATION OF HEDGING</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18</w:t>
      </w:r>
      <w:r>
        <w:rPr>
          <w:rFonts w:ascii="Times New Roman" w:hAnsi="Times New Roman"/>
          <w:color w:val="000000"/>
          <w:sz w:val="22"/>
        </w:rPr>
        <w:tab/>
      </w:r>
      <w:r>
        <w:rPr>
          <w:rFonts w:ascii="Times New Roman" w:hAnsi="Times New Roman"/>
          <w:color w:val="000000"/>
          <w:sz w:val="22"/>
        </w:rPr>
        <w:t xml:space="preserve">The Exchange will review an application for hedging quota within five (5) trading days of receiving the application and will: </w:t>
      </w:r>
    </w:p>
    <w:p>
      <w:pPr>
        <w:widowControl/>
        <w:tabs>
          <w:tab w:val="left" w:pos="709"/>
        </w:tabs>
        <w:adjustRightInd w:val="0"/>
        <w:snapToGrid w:val="0"/>
        <w:spacing w:after="312" w:afterLines="100" w:line="276" w:lineRule="auto"/>
        <w:jc w:val="left"/>
        <w:rPr>
          <w:rFonts w:ascii="Times New Roman" w:hAnsi="Times New Roman"/>
          <w:color w:val="000000"/>
          <w:sz w:val="22"/>
        </w:rPr>
      </w:pPr>
      <w:r>
        <w:rPr>
          <w:rFonts w:ascii="Times New Roman" w:hAnsi="Times New Roman"/>
          <w:color w:val="000000"/>
          <w:sz w:val="22"/>
        </w:rPr>
        <w:t>(i)</w:t>
      </w:r>
      <w:r>
        <w:rPr>
          <w:rFonts w:ascii="Times New Roman" w:hAnsi="Times New Roman"/>
          <w:color w:val="000000"/>
          <w:sz w:val="22"/>
        </w:rPr>
        <w:tab/>
      </w:r>
      <w:r>
        <w:rPr>
          <w:rFonts w:ascii="Times New Roman" w:hAnsi="Times New Roman"/>
          <w:color w:val="000000"/>
          <w:sz w:val="22"/>
        </w:rPr>
        <w:t xml:space="preserve">notify the applicant of approval if the requirements for granting hedging quota are satisfied; </w:t>
      </w:r>
    </w:p>
    <w:p>
      <w:pPr>
        <w:widowControl/>
        <w:tabs>
          <w:tab w:val="left" w:pos="709"/>
        </w:tabs>
        <w:adjustRightInd w:val="0"/>
        <w:snapToGrid w:val="0"/>
        <w:spacing w:after="312" w:afterLines="100" w:line="276" w:lineRule="auto"/>
        <w:jc w:val="left"/>
        <w:rPr>
          <w:rFonts w:ascii="Times New Roman" w:hAnsi="Times New Roman"/>
          <w:color w:val="000000"/>
          <w:sz w:val="22"/>
        </w:rPr>
      </w:pPr>
      <w:r>
        <w:rPr>
          <w:rFonts w:ascii="Times New Roman" w:hAnsi="Times New Roman"/>
          <w:color w:val="000000"/>
          <w:sz w:val="22"/>
        </w:rPr>
        <w:t>(ii)</w:t>
      </w:r>
      <w:r>
        <w:rPr>
          <w:rFonts w:ascii="Times New Roman" w:hAnsi="Times New Roman"/>
          <w:color w:val="000000"/>
          <w:sz w:val="22"/>
        </w:rPr>
        <w:tab/>
      </w:r>
      <w:r>
        <w:rPr>
          <w:rFonts w:ascii="Times New Roman" w:hAnsi="Times New Roman"/>
          <w:color w:val="000000"/>
          <w:sz w:val="22"/>
        </w:rPr>
        <w:t xml:space="preserve">notify the applicant of denial if the requirements for granting hedging quota are not satisfied; or </w:t>
      </w:r>
    </w:p>
    <w:p>
      <w:pPr>
        <w:widowControl/>
        <w:tabs>
          <w:tab w:val="left" w:pos="709"/>
        </w:tabs>
        <w:adjustRightInd w:val="0"/>
        <w:snapToGrid w:val="0"/>
        <w:spacing w:after="312" w:afterLines="100" w:line="276" w:lineRule="auto"/>
        <w:jc w:val="left"/>
        <w:rPr>
          <w:rFonts w:ascii="Times New Roman" w:hAnsi="Times New Roman"/>
          <w:color w:val="000000"/>
          <w:sz w:val="22"/>
        </w:rPr>
      </w:pPr>
      <w:r>
        <w:rPr>
          <w:rFonts w:ascii="Times New Roman" w:hAnsi="Times New Roman"/>
          <w:color w:val="000000"/>
          <w:sz w:val="22"/>
        </w:rPr>
        <w:t>(iii)</w:t>
      </w:r>
      <w:r>
        <w:rPr>
          <w:rFonts w:ascii="Times New Roman" w:hAnsi="Times New Roman"/>
          <w:color w:val="000000"/>
          <w:sz w:val="22"/>
        </w:rPr>
        <w:tab/>
      </w:r>
      <w:r>
        <w:rPr>
          <w:rFonts w:ascii="Times New Roman" w:hAnsi="Times New Roman"/>
          <w:color w:val="000000"/>
          <w:sz w:val="22"/>
        </w:rPr>
        <w:t xml:space="preserve">request the applicant to provide any additional materials that should be provided. </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19</w:t>
      </w:r>
      <w:r>
        <w:rPr>
          <w:rFonts w:ascii="Times New Roman" w:hAnsi="Times New Roman"/>
          <w:color w:val="000000"/>
          <w:sz w:val="22"/>
        </w:rPr>
        <w:tab/>
      </w:r>
      <w:r>
        <w:rPr>
          <w:rFonts w:ascii="Times New Roman" w:hAnsi="Times New Roman"/>
          <w:color w:val="000000"/>
          <w:sz w:val="22"/>
        </w:rPr>
        <w:t xml:space="preserve">The Exchange has the right to, from time to time, supervise and investigate the information that a Member or Client provides on its business operation, credit standing, and trading activities in futures, options, and physicals. The Member and the Client concerned shall give assistance and cooperation. </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color w:val="000000"/>
          <w:sz w:val="22"/>
        </w:rPr>
        <w:t>The Exchange may require a Member or Client that receives a hedging quota to report on its trading activities in physicals, futures, and options.</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20</w:t>
      </w:r>
      <w:r>
        <w:rPr>
          <w:rFonts w:ascii="Times New Roman" w:hAnsi="Times New Roman"/>
          <w:color w:val="000000"/>
          <w:sz w:val="22"/>
        </w:rPr>
        <w:tab/>
      </w:r>
      <w:r>
        <w:rPr>
          <w:rFonts w:ascii="Times New Roman" w:hAnsi="Times New Roman"/>
          <w:color w:val="000000"/>
          <w:sz w:val="22"/>
        </w:rPr>
        <w:t>The Exchange regulates the usage of the hedging quotas granted to Members or Clients.</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21</w:t>
      </w:r>
      <w:r>
        <w:rPr>
          <w:rFonts w:ascii="Times New Roman" w:hAnsi="Times New Roman"/>
          <w:color w:val="000000"/>
          <w:sz w:val="22"/>
        </w:rPr>
        <w:tab/>
      </w:r>
      <w:r>
        <w:rPr>
          <w:rFonts w:ascii="Times New Roman" w:hAnsi="Times New Roman"/>
          <w:color w:val="000000"/>
          <w:sz w:val="22"/>
        </w:rPr>
        <w:t>A Member or Client, during the validity period of its hedging quota, shall timely notify the Exchange of any material change to its business. The Exchange may adjust the hedging quota based on market conditions and business operation of the Member or Client.</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22</w:t>
      </w:r>
      <w:r>
        <w:rPr>
          <w:rFonts w:ascii="Times New Roman" w:hAnsi="Times New Roman"/>
          <w:color w:val="000000"/>
          <w:sz w:val="22"/>
        </w:rPr>
        <w:tab/>
      </w:r>
      <w:r>
        <w:rPr>
          <w:rFonts w:ascii="Times New Roman" w:hAnsi="Times New Roman"/>
          <w:color w:val="000000"/>
          <w:sz w:val="22"/>
        </w:rPr>
        <w:t>A Member or Client that needs to adjust its hedging quota shall timely apply to the Exchange.</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23</w:t>
      </w:r>
      <w:r>
        <w:rPr>
          <w:rFonts w:ascii="Times New Roman" w:hAnsi="Times New Roman"/>
          <w:color w:val="000000"/>
          <w:sz w:val="22"/>
        </w:rPr>
        <w:tab/>
      </w:r>
      <w:r>
        <w:rPr>
          <w:rFonts w:ascii="Times New Roman" w:hAnsi="Times New Roman"/>
          <w:color w:val="000000"/>
          <w:sz w:val="22"/>
        </w:rPr>
        <w:t>A Member or Client whose hedging position exceeds the approved hedging quota or an otherwise established limit shall adjust its position by the end of the first trading session on the following trading day. If the adjustment is not made before the deadline or fails to eliminate the excess, the Exchange may exercise forced position liquidation.</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24</w:t>
      </w:r>
      <w:r>
        <w:rPr>
          <w:rFonts w:ascii="Times New Roman" w:hAnsi="Times New Roman"/>
          <w:color w:val="000000"/>
          <w:sz w:val="22"/>
        </w:rPr>
        <w:tab/>
      </w:r>
      <w:r>
        <w:rPr>
          <w:rFonts w:ascii="Times New Roman" w:hAnsi="Times New Roman"/>
          <w:color w:val="000000"/>
          <w:sz w:val="22"/>
        </w:rPr>
        <w:t>If a Member or Client frequently opens and closes out its positions within its approved hedging quota to influence or attempt to influence market price, the Exchange may take such measures as giving a verbal reminder or written warning, adjusting or canceling the hedging quota, suspending the opening of new positions, requiring the close-out of positions within a specified time period, or exercising forced position liquidation.</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25</w:t>
      </w:r>
      <w:r>
        <w:rPr>
          <w:rFonts w:ascii="Times New Roman" w:hAnsi="Times New Roman"/>
          <w:color w:val="000000"/>
          <w:sz w:val="22"/>
        </w:rPr>
        <w:tab/>
      </w:r>
      <w:r>
        <w:rPr>
          <w:rFonts w:ascii="Times New Roman" w:hAnsi="Times New Roman"/>
          <w:color w:val="000000"/>
          <w:sz w:val="22"/>
        </w:rPr>
        <w:t>When the Exchange exercises position reduction to mitigate risks arising in the market, speculative positions will be reduced before hedging positions.</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26</w:t>
      </w:r>
      <w:r>
        <w:rPr>
          <w:rFonts w:ascii="Times New Roman" w:hAnsi="Times New Roman"/>
          <w:color w:val="000000"/>
          <w:sz w:val="22"/>
        </w:rPr>
        <w:tab/>
      </w:r>
      <w:r>
        <w:rPr>
          <w:rFonts w:ascii="Times New Roman" w:hAnsi="Times New Roman"/>
          <w:color w:val="000000"/>
          <w:sz w:val="22"/>
        </w:rPr>
        <w:t>Based on the conditions of the futures, options, and physicals market as well as open interests in the market, the Exchange may, from time to time, request a Member or Client to provide additional materials on its approved hedging quota.</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27</w:t>
      </w:r>
      <w:r>
        <w:rPr>
          <w:rFonts w:ascii="Times New Roman" w:hAnsi="Times New Roman"/>
          <w:color w:val="000000"/>
          <w:sz w:val="22"/>
        </w:rPr>
        <w:tab/>
      </w:r>
      <w:r>
        <w:rPr>
          <w:rFonts w:ascii="Times New Roman" w:hAnsi="Times New Roman"/>
          <w:color w:val="000000"/>
          <w:sz w:val="22"/>
        </w:rPr>
        <w:t xml:space="preserve">If a Member or Client engages in fraud or otherwise breaches any rules of the Exchange when applying for or using a hedging quota, the Exchange may deny its application, adjust or cancel its hedging quota, deal with its hedging positions as speculative positions or exercise forced position liquidation, and handle the case according to the </w:t>
      </w:r>
      <w:r>
        <w:rPr>
          <w:rFonts w:ascii="Times New Roman" w:hAnsi="Times New Roman"/>
          <w:i/>
          <w:iCs/>
          <w:color w:val="000000"/>
          <w:sz w:val="22"/>
        </w:rPr>
        <w:t>Enforcement Rules of the Shanghai Futures Exchange</w:t>
      </w:r>
      <w:r>
        <w:rPr>
          <w:rFonts w:ascii="Times New Roman" w:hAnsi="Times New Roman"/>
          <w:color w:val="000000"/>
          <w:sz w:val="22"/>
        </w:rPr>
        <w:t>.</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28</w:t>
      </w:r>
      <w:r>
        <w:rPr>
          <w:rFonts w:ascii="Times New Roman" w:hAnsi="Times New Roman"/>
          <w:color w:val="000000"/>
          <w:sz w:val="22"/>
        </w:rPr>
        <w:tab/>
      </w:r>
      <w:r>
        <w:rPr>
          <w:rFonts w:ascii="Times New Roman" w:hAnsi="Times New Roman"/>
          <w:color w:val="000000"/>
          <w:sz w:val="22"/>
        </w:rPr>
        <w:t>The Exchange may offer discounts on the trading margin or transaction fees of hedge trading.</w:t>
      </w:r>
    </w:p>
    <w:p>
      <w:pPr>
        <w:widowControl/>
        <w:tabs>
          <w:tab w:val="left" w:pos="1560"/>
        </w:tabs>
        <w:adjustRightInd w:val="0"/>
        <w:snapToGrid w:val="0"/>
        <w:spacing w:before="468" w:beforeLines="150" w:after="312" w:afterLines="100" w:line="276" w:lineRule="auto"/>
        <w:jc w:val="center"/>
        <w:rPr>
          <w:rFonts w:ascii="Times New Roman" w:hAnsi="Times New Roman"/>
          <w:b/>
          <w:sz w:val="22"/>
        </w:rPr>
      </w:pPr>
      <w:r>
        <w:rPr>
          <w:rFonts w:ascii="Times New Roman" w:hAnsi="Times New Roman"/>
          <w:b/>
          <w:sz w:val="22"/>
        </w:rPr>
        <w:t>CHAPTER 6</w:t>
      </w:r>
      <w:r>
        <w:rPr>
          <w:rFonts w:ascii="Times New Roman" w:hAnsi="Times New Roman"/>
          <w:b/>
          <w:sz w:val="22"/>
        </w:rPr>
        <w:tab/>
      </w:r>
      <w:r>
        <w:rPr>
          <w:rFonts w:ascii="Times New Roman" w:hAnsi="Times New Roman"/>
          <w:b/>
          <w:sz w:val="22"/>
        </w:rPr>
        <w:t>MISCELLANEOUS</w:t>
      </w:r>
    </w:p>
    <w:p>
      <w:pPr>
        <w:tabs>
          <w:tab w:val="left" w:pos="1106"/>
        </w:tabs>
        <w:adjustRightInd w:val="0"/>
        <w:snapToGrid w:val="0"/>
        <w:spacing w:after="312" w:afterLines="100" w:line="276" w:lineRule="auto"/>
        <w:jc w:val="left"/>
        <w:rPr>
          <w:rFonts w:ascii="Times New Roman" w:hAnsi="Times New Roman"/>
          <w:b/>
          <w:bCs/>
          <w:color w:val="FF0000"/>
          <w:sz w:val="22"/>
        </w:rPr>
      </w:pPr>
      <w:r>
        <w:rPr>
          <w:rFonts w:hint="eastAsia" w:ascii="Times New Roman" w:hAnsi="Times New Roman"/>
          <w:b/>
          <w:bCs/>
          <w:color w:val="000000" w:themeColor="text1"/>
          <w:sz w:val="22"/>
          <w14:textFill>
            <w14:solidFill>
              <w14:schemeClr w14:val="tx1"/>
            </w14:solidFill>
          </w14:textFill>
        </w:rPr>
        <w:t xml:space="preserve">Article </w:t>
      </w:r>
      <w:r>
        <w:rPr>
          <w:rFonts w:ascii="Times New Roman" w:hAnsi="Times New Roman"/>
          <w:b/>
          <w:bCs/>
          <w:color w:val="000000" w:themeColor="text1"/>
          <w:sz w:val="22"/>
          <w14:textFill>
            <w14:solidFill>
              <w14:schemeClr w14:val="tx1"/>
            </w14:solidFill>
          </w14:textFill>
        </w:rPr>
        <w:t>29</w:t>
      </w:r>
      <w:r>
        <w:rPr>
          <w:rFonts w:ascii="Times New Roman" w:hAnsi="Times New Roman"/>
          <w:b/>
          <w:bCs/>
          <w:sz w:val="22"/>
        </w:rPr>
        <w:tab/>
      </w:r>
      <w:r>
        <w:rPr>
          <w:rFonts w:ascii="Times New Roman" w:hAnsi="Times New Roman" w:eastAsia="等线"/>
          <w:bCs/>
          <w:snapToGrid w:val="0"/>
          <w:color w:val="000000" w:themeColor="text1"/>
          <w:kern w:val="22"/>
          <w:sz w:val="22"/>
          <w14:textFill>
            <w14:solidFill>
              <w14:schemeClr w14:val="tx1"/>
            </w14:solidFill>
          </w14:textFill>
        </w:rPr>
        <w:t xml:space="preserve">To the extent of any inconsistency between these </w:t>
      </w:r>
      <w:r>
        <w:rPr>
          <w:rFonts w:ascii="Times New Roman" w:hAnsi="Times New Roman" w:eastAsia="等线"/>
          <w:bCs/>
          <w:i/>
          <w:iCs/>
          <w:snapToGrid w:val="0"/>
          <w:color w:val="000000" w:themeColor="text1"/>
          <w:kern w:val="22"/>
          <w:sz w:val="22"/>
          <w14:textFill>
            <w14:solidFill>
              <w14:schemeClr w14:val="tx1"/>
            </w14:solidFill>
          </w14:textFill>
        </w:rPr>
        <w:t>Hedge Trading Rules</w:t>
      </w:r>
      <w:r>
        <w:rPr>
          <w:rFonts w:ascii="Times New Roman" w:hAnsi="Times New Roman" w:eastAsia="等线"/>
          <w:bCs/>
          <w:snapToGrid w:val="0"/>
          <w:color w:val="000000" w:themeColor="text1"/>
          <w:kern w:val="22"/>
          <w:sz w:val="22"/>
          <w14:textFill>
            <w14:solidFill>
              <w14:schemeClr w14:val="tx1"/>
            </w14:solidFill>
          </w14:textFill>
        </w:rPr>
        <w:t xml:space="preserve"> and the rules for the particular futures products, the product rules shall prevail.</w:t>
      </w:r>
    </w:p>
    <w:p>
      <w:pPr>
        <w:tabs>
          <w:tab w:val="left" w:pos="1204"/>
        </w:tabs>
        <w:adjustRightInd w:val="0"/>
        <w:snapToGrid w:val="0"/>
        <w:spacing w:after="312" w:afterLines="100" w:line="276" w:lineRule="auto"/>
        <w:jc w:val="left"/>
        <w:rPr>
          <w:rFonts w:ascii="Times New Roman" w:hAnsi="Times New Roman"/>
          <w:color w:val="000000"/>
          <w:sz w:val="22"/>
        </w:rPr>
      </w:pPr>
      <w:r>
        <w:rPr>
          <w:rFonts w:ascii="Times New Roman" w:hAnsi="Times New Roman"/>
          <w:b/>
          <w:bCs/>
          <w:color w:val="000000"/>
          <w:sz w:val="22"/>
        </w:rPr>
        <w:t>Article 30</w:t>
      </w:r>
      <w:r>
        <w:rPr>
          <w:rFonts w:ascii="Times New Roman" w:hAnsi="Times New Roman"/>
          <w:color w:val="000000"/>
          <w:sz w:val="22"/>
        </w:rPr>
        <w:tab/>
      </w:r>
      <w:r>
        <w:rPr>
          <w:rFonts w:ascii="Times New Roman" w:hAnsi="Times New Roman"/>
          <w:color w:val="000000"/>
          <w:sz w:val="22"/>
        </w:rPr>
        <w:t xml:space="preserve">The Exchange reserves the right to interpret these </w:t>
      </w:r>
      <w:r>
        <w:rPr>
          <w:rFonts w:ascii="Times New Roman" w:hAnsi="Times New Roman"/>
          <w:i/>
          <w:iCs/>
          <w:color w:val="000000"/>
          <w:sz w:val="22"/>
        </w:rPr>
        <w:t>Hedge Trading Rules</w:t>
      </w:r>
      <w:r>
        <w:rPr>
          <w:rFonts w:ascii="Times New Roman" w:hAnsi="Times New Roman"/>
          <w:color w:val="000000"/>
          <w:sz w:val="22"/>
        </w:rPr>
        <w:t>.</w:t>
      </w:r>
    </w:p>
    <w:p>
      <w:pPr>
        <w:tabs>
          <w:tab w:val="left" w:pos="1204"/>
        </w:tabs>
        <w:adjustRightInd w:val="0"/>
        <w:snapToGrid w:val="0"/>
        <w:spacing w:after="312" w:afterLines="100" w:line="276" w:lineRule="auto"/>
        <w:jc w:val="left"/>
        <w:rPr>
          <w:rFonts w:ascii="Times New Roman" w:hAnsi="Times New Roman"/>
          <w:sz w:val="22"/>
        </w:rPr>
      </w:pPr>
      <w:r>
        <w:rPr>
          <w:rFonts w:ascii="Times New Roman" w:hAnsi="Times New Roman"/>
          <w:b/>
          <w:bCs/>
          <w:color w:val="000000"/>
          <w:sz w:val="22"/>
        </w:rPr>
        <w:t>Article 31</w:t>
      </w:r>
      <w:r>
        <w:rPr>
          <w:rFonts w:ascii="Times New Roman" w:hAnsi="Times New Roman"/>
          <w:color w:val="000000"/>
          <w:sz w:val="22"/>
        </w:rPr>
        <w:tab/>
      </w:r>
      <w:r>
        <w:rPr>
          <w:rFonts w:ascii="Times New Roman" w:hAnsi="Times New Roman"/>
          <w:color w:val="000000"/>
          <w:sz w:val="22"/>
        </w:rPr>
        <w:t xml:space="preserve">These </w:t>
      </w:r>
      <w:r>
        <w:rPr>
          <w:rFonts w:ascii="Times New Roman" w:hAnsi="Times New Roman"/>
          <w:i/>
          <w:iCs/>
          <w:color w:val="000000"/>
          <w:sz w:val="22"/>
        </w:rPr>
        <w:t>Hedge Trading Rules</w:t>
      </w:r>
      <w:r>
        <w:rPr>
          <w:rFonts w:ascii="Times New Roman" w:hAnsi="Times New Roman"/>
          <w:color w:val="000000"/>
          <w:sz w:val="22"/>
        </w:rPr>
        <w:t xml:space="preserve"> take effect on</w:t>
      </w:r>
      <w:r>
        <w:rPr>
          <w:rFonts w:ascii="Times New Roman" w:hAnsi="Times New Roman"/>
          <w:color w:val="FF0000"/>
          <w:sz w:val="22"/>
        </w:rPr>
        <w:t xml:space="preserve"> </w:t>
      </w:r>
      <w:r>
        <w:rPr>
          <w:rFonts w:ascii="Times New Roman" w:hAnsi="Times New Roman" w:eastAsia="等线"/>
          <w:bCs/>
          <w:snapToGrid w:val="0"/>
          <w:color w:val="000000" w:themeColor="text1"/>
          <w:kern w:val="22"/>
          <w:sz w:val="22"/>
          <w14:textFill>
            <w14:solidFill>
              <w14:schemeClr w14:val="tx1"/>
            </w14:solidFill>
          </w14:textFill>
        </w:rPr>
        <w:t>October 23, 2024</w:t>
      </w:r>
      <w:r>
        <w:rPr>
          <w:rFonts w:ascii="Times New Roman" w:hAnsi="Times New Roman"/>
          <w:color w:val="000000" w:themeColor="text1"/>
          <w:sz w:val="22"/>
          <w14:textFill>
            <w14:solidFill>
              <w14:schemeClr w14:val="tx1"/>
            </w14:solidFill>
          </w14:textFill>
        </w:rPr>
        <w:t>.</w:t>
      </w:r>
    </w:p>
    <w:p>
      <w:pPr>
        <w:tabs>
          <w:tab w:val="left" w:pos="1204"/>
        </w:tabs>
        <w:adjustRightInd w:val="0"/>
        <w:snapToGrid w:val="0"/>
        <w:spacing w:after="312" w:afterLines="100" w:line="276" w:lineRule="auto"/>
        <w:jc w:val="left"/>
        <w:rPr>
          <w:rFonts w:ascii="Times New Roman" w:hAnsi="Times New Roman"/>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16" w:usb3="00000000" w:csb0="0004000F" w:csb1="00000000"/>
  </w:font>
  <w:font w:name="方正仿宋简体">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70"/>
    <w:rsid w:val="0002394F"/>
    <w:rsid w:val="000648A7"/>
    <w:rsid w:val="001020CA"/>
    <w:rsid w:val="00134F8C"/>
    <w:rsid w:val="0016795B"/>
    <w:rsid w:val="002376A8"/>
    <w:rsid w:val="00276378"/>
    <w:rsid w:val="002B647D"/>
    <w:rsid w:val="002D09A8"/>
    <w:rsid w:val="002D721B"/>
    <w:rsid w:val="00343FB8"/>
    <w:rsid w:val="003807D4"/>
    <w:rsid w:val="003D7D01"/>
    <w:rsid w:val="004229D6"/>
    <w:rsid w:val="00427C8F"/>
    <w:rsid w:val="004373B4"/>
    <w:rsid w:val="00472D97"/>
    <w:rsid w:val="00492BFC"/>
    <w:rsid w:val="004B5896"/>
    <w:rsid w:val="004B5C5F"/>
    <w:rsid w:val="004E15B6"/>
    <w:rsid w:val="0051062C"/>
    <w:rsid w:val="005315B8"/>
    <w:rsid w:val="00581ABF"/>
    <w:rsid w:val="005B03DD"/>
    <w:rsid w:val="005E1D5C"/>
    <w:rsid w:val="00606F8B"/>
    <w:rsid w:val="00653590"/>
    <w:rsid w:val="006A3F9D"/>
    <w:rsid w:val="006C6A53"/>
    <w:rsid w:val="00713E62"/>
    <w:rsid w:val="007925F8"/>
    <w:rsid w:val="007A1302"/>
    <w:rsid w:val="007E3DA4"/>
    <w:rsid w:val="00803861"/>
    <w:rsid w:val="008B3AB7"/>
    <w:rsid w:val="008B41E6"/>
    <w:rsid w:val="008C2D27"/>
    <w:rsid w:val="008D781A"/>
    <w:rsid w:val="008F1CBF"/>
    <w:rsid w:val="00902294"/>
    <w:rsid w:val="00925540"/>
    <w:rsid w:val="0093731B"/>
    <w:rsid w:val="00994124"/>
    <w:rsid w:val="009B64CC"/>
    <w:rsid w:val="00A41725"/>
    <w:rsid w:val="00A84B5F"/>
    <w:rsid w:val="00AA68D8"/>
    <w:rsid w:val="00B1229E"/>
    <w:rsid w:val="00B4750B"/>
    <w:rsid w:val="00B74B1D"/>
    <w:rsid w:val="00B770D8"/>
    <w:rsid w:val="00B91451"/>
    <w:rsid w:val="00BC73CD"/>
    <w:rsid w:val="00C9512F"/>
    <w:rsid w:val="00CB09AA"/>
    <w:rsid w:val="00CD12C7"/>
    <w:rsid w:val="00CE69F3"/>
    <w:rsid w:val="00D33C77"/>
    <w:rsid w:val="00D73AD5"/>
    <w:rsid w:val="00D7554B"/>
    <w:rsid w:val="00D8752F"/>
    <w:rsid w:val="00E143FB"/>
    <w:rsid w:val="00E53491"/>
    <w:rsid w:val="00E76840"/>
    <w:rsid w:val="00EF5470"/>
    <w:rsid w:val="00F555D3"/>
    <w:rsid w:val="00FC6B39"/>
    <w:rsid w:val="00FD43DA"/>
    <w:rsid w:val="DFFCEE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rPr>
      <w:rFonts w:ascii="Calibri" w:hAnsi="Calibri" w:eastAsia="宋体" w:cs="Times New Roman"/>
    </w:rPr>
  </w:style>
  <w:style w:type="character" w:customStyle="1" w:styleId="13">
    <w:name w:val="批注主题 Char"/>
    <w:basedOn w:val="12"/>
    <w:link w:val="6"/>
    <w:semiHidden/>
    <w:qFormat/>
    <w:uiPriority w:val="99"/>
    <w:rPr>
      <w:rFonts w:ascii="Calibri" w:hAnsi="Calibri" w:eastAsia="宋体" w:cs="Times New Roman"/>
      <w:b/>
      <w:bCs/>
    </w:rPr>
  </w:style>
  <w:style w:type="character" w:customStyle="1" w:styleId="14">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SHFE</Company>
  <Pages>11</Pages>
  <Words>3754</Words>
  <Characters>21400</Characters>
  <Lines>178</Lines>
  <Paragraphs>50</Paragraphs>
  <TotalTime>44</TotalTime>
  <ScaleCrop>false</ScaleCrop>
  <LinksUpToDate>false</LinksUpToDate>
  <CharactersWithSpaces>25104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2024-08-02T14:52:00Z</dcterms:created>
  <dc:creator>叶勇</dc:creator>
  <cp:lastModifiedBy>guan.zhaohui</cp:lastModifiedBy>
  <dcterms:modified xsi:type="dcterms:W3CDTF">2024-10-22T18:04:05Z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39D4E1539F98BE7E9578176776E5145F</vt:lpwstr>
  </property>
</Properties>
</file>