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line="276" w:lineRule="auto"/>
        <w:jc w:val="center"/>
        <w:rPr>
          <w:rFonts w:ascii="Times New Roman" w:hAnsi="Times New Roman"/>
          <w:b/>
          <w:sz w:val="28"/>
          <w:szCs w:val="28"/>
        </w:rPr>
      </w:pPr>
      <w:bookmarkStart w:id="0" w:name="_GoBack"/>
      <w:bookmarkEnd w:id="0"/>
      <w:r>
        <w:rPr>
          <w:rFonts w:ascii="Times New Roman" w:hAnsi="Times New Roman"/>
          <w:b/>
          <w:sz w:val="28"/>
          <w:szCs w:val="28"/>
        </w:rPr>
        <w:t>INFORMATION MANAGEMENT RULES OF THE SHANGHAI FUTURES EXCHANGE</w:t>
      </w:r>
    </w:p>
    <w:p>
      <w:pPr>
        <w:tabs>
          <w:tab w:val="left" w:pos="1560"/>
        </w:tabs>
        <w:adjustRightInd w:val="0"/>
        <w:snapToGrid w:val="0"/>
        <w:spacing w:after="312" w:afterLines="100" w:line="276" w:lineRule="auto"/>
        <w:jc w:val="center"/>
        <w:rPr>
          <w:rFonts w:ascii="Times New Roman" w:hAnsi="Times New Roman"/>
          <w:b/>
          <w:bCs/>
          <w:sz w:val="28"/>
          <w:szCs w:val="28"/>
        </w:rPr>
      </w:pPr>
      <w:r>
        <w:rPr>
          <w:rFonts w:ascii="Times New Roman" w:hAnsi="Times New Roman"/>
          <w:b/>
          <w:bCs/>
          <w:sz w:val="28"/>
          <w:szCs w:val="28"/>
        </w:rPr>
        <w:t>(Revised Version)</w:t>
      </w:r>
    </w:p>
    <w:p>
      <w:pPr>
        <w:adjustRightInd w:val="0"/>
        <w:snapToGrid w:val="0"/>
        <w:spacing w:after="100" w:line="276" w:lineRule="auto"/>
        <w:rPr>
          <w:rFonts w:ascii="Times New Roman" w:hAnsi="Times New Roman"/>
          <w:sz w:val="22"/>
        </w:rPr>
      </w:pPr>
    </w:p>
    <w:p>
      <w:pPr>
        <w:tabs>
          <w:tab w:val="left" w:pos="1418"/>
        </w:tabs>
        <w:adjustRightInd w:val="0"/>
        <w:snapToGrid w:val="0"/>
        <w:spacing w:after="312" w:afterLines="100" w:line="276" w:lineRule="auto"/>
        <w:jc w:val="center"/>
        <w:rPr>
          <w:rFonts w:ascii="Times New Roman" w:hAnsi="Times New Roman"/>
          <w:b/>
          <w:sz w:val="22"/>
        </w:rPr>
      </w:pPr>
      <w:r>
        <w:rPr>
          <w:rFonts w:ascii="Times New Roman" w:hAnsi="Times New Roman"/>
          <w:b/>
          <w:sz w:val="22"/>
        </w:rPr>
        <w:t>Chapter 1</w:t>
      </w:r>
      <w:r>
        <w:rPr>
          <w:rFonts w:ascii="Times New Roman" w:hAnsi="Times New Roman"/>
          <w:b/>
          <w:sz w:val="22"/>
        </w:rPr>
        <w:tab/>
      </w:r>
      <w:r>
        <w:rPr>
          <w:rFonts w:ascii="Times New Roman" w:hAnsi="Times New Roman"/>
          <w:b/>
          <w:sz w:val="22"/>
        </w:rPr>
        <w:t>GENERAL PROVISIONS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sz w:val="22"/>
        </w:rPr>
        <w:t>Article 1</w:t>
      </w:r>
      <w:r>
        <w:rPr>
          <w:rFonts w:ascii="Times New Roman" w:hAnsi="Times New Roman"/>
          <w:sz w:val="22"/>
        </w:rPr>
        <w:tab/>
      </w:r>
      <w:r>
        <w:rPr>
          <w:rFonts w:ascii="Times New Roman" w:hAnsi="Times New Roman"/>
          <w:sz w:val="22"/>
        </w:rPr>
        <w:t xml:space="preserve">These </w:t>
      </w:r>
      <w:r>
        <w:rPr>
          <w:rFonts w:ascii="Times New Roman" w:hAnsi="Times New Roman"/>
          <w:i/>
          <w:sz w:val="22"/>
        </w:rPr>
        <w:t xml:space="preserve">Information Management Rules of the Shanghai Futures Exchange </w:t>
      </w:r>
      <w:r>
        <w:rPr>
          <w:rFonts w:ascii="Times New Roman" w:hAnsi="Times New Roman"/>
          <w:sz w:val="22"/>
        </w:rPr>
        <w:t>(hereinafter referred to as the “</w:t>
      </w:r>
      <w:r>
        <w:rPr>
          <w:rFonts w:ascii="Times New Roman" w:hAnsi="Times New Roman"/>
          <w:i/>
          <w:sz w:val="22"/>
        </w:rPr>
        <w:t>Information Management Rules</w:t>
      </w:r>
      <w:r>
        <w:rPr>
          <w:rFonts w:ascii="Times New Roman" w:hAnsi="Times New Roman"/>
          <w:sz w:val="22"/>
        </w:rPr>
        <w:t xml:space="preserve">”) are formulated, in accordance with applicable laws, regulations and rules of the People’s Republic of China (hereinafter referred to as “the PRC”) as well as the </w:t>
      </w:r>
      <w:r>
        <w:rPr>
          <w:rFonts w:ascii="Times New Roman" w:hAnsi="Times New Roman"/>
          <w:i/>
          <w:sz w:val="22"/>
        </w:rPr>
        <w:t>General Exchange Rules of the Shanghai Futures Exchange</w:t>
      </w:r>
      <w:r>
        <w:rPr>
          <w:rFonts w:ascii="Times New Roman" w:hAnsi="Times New Roman"/>
          <w:sz w:val="22"/>
        </w:rPr>
        <w:t>, to regulate the dissemination, operation, distribution and use of information, ensure adequate, timely and accurate acquisition of information by market participants, safeguard the right of the Shanghai Futures Exchange (hereinafter referred to as “the Exchange”) to information, support and promote the wide distribution and effective use of information.</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sz w:val="22"/>
        </w:rPr>
        <w:t>Article 2</w:t>
      </w:r>
      <w:r>
        <w:rPr>
          <w:rFonts w:ascii="Times New Roman" w:hAnsi="Times New Roman"/>
          <w:sz w:val="22"/>
        </w:rPr>
        <w:tab/>
      </w:r>
      <w:r>
        <w:rPr>
          <w:rFonts w:ascii="Times New Roman" w:hAnsi="Times New Roman"/>
          <w:sz w:val="22"/>
        </w:rPr>
        <w:t xml:space="preserve">Information in these </w:t>
      </w:r>
      <w:r>
        <w:rPr>
          <w:rFonts w:ascii="Times New Roman" w:hAnsi="Times New Roman"/>
          <w:i/>
          <w:sz w:val="22"/>
        </w:rPr>
        <w:t>Information Management Rules</w:t>
      </w:r>
      <w:r>
        <w:rPr>
          <w:rFonts w:ascii="Times New Roman" w:hAnsi="Times New Roman"/>
          <w:sz w:val="22"/>
        </w:rPr>
        <w:t xml:space="preserve"> refers to all the information and data relating to the listed products traded on the Exchange, as well as descriptions in any forms that can directly or indirectly convey all or part of the information and data aforementioned, including market data of all listed products generated in futures trading activities on the Exchange, various trading statistics, all announcements and notices released by the Exchange, and other relevant information required to be disclosed by the China Securities Regulatory Commission (hereinafter referred to as “ the CSRC”).</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The information mentioned herein does not include any information prohibited from disclosure by regulatory authorities or by PRC laws, regulations and rules.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sz w:val="22"/>
        </w:rPr>
        <w:t>Article 3</w:t>
      </w:r>
      <w:r>
        <w:rPr>
          <w:rFonts w:ascii="Times New Roman" w:hAnsi="Times New Roman"/>
          <w:sz w:val="22"/>
        </w:rPr>
        <w:tab/>
      </w:r>
      <w:r>
        <w:rPr>
          <w:rFonts w:ascii="Times New Roman" w:hAnsi="Times New Roman"/>
          <w:sz w:val="22"/>
        </w:rPr>
        <w:t>The Exchange has the exclusive right over all information and information products produced after processing. Without the written authorization by the Exchange, no institution or individual may conduct any business in relation to the Exchange’s information, including but not limited to the dissemination, operation, value-added development or distribution of the Exchange’s information, or the use of such information for commercial purposes.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sz w:val="22"/>
        </w:rPr>
        <w:t>Article 4</w:t>
      </w:r>
      <w:r>
        <w:rPr>
          <w:rFonts w:ascii="Times New Roman" w:hAnsi="Times New Roman"/>
          <w:sz w:val="22"/>
        </w:rPr>
        <w:tab/>
      </w:r>
      <w:r>
        <w:rPr>
          <w:rFonts w:ascii="Times New Roman" w:hAnsi="Times New Roman"/>
          <w:sz w:val="22"/>
        </w:rPr>
        <w:t>The Exchange may manage its information independently, in cooperation with a third party or entrust a third party for the purpose thereof.</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sz w:val="22"/>
        </w:rPr>
        <w:t>Article 5</w:t>
      </w:r>
      <w:r>
        <w:rPr>
          <w:rFonts w:ascii="Times New Roman" w:hAnsi="Times New Roman"/>
          <w:sz w:val="22"/>
        </w:rPr>
        <w:tab/>
      </w:r>
      <w:r>
        <w:rPr>
          <w:rFonts w:ascii="Times New Roman" w:hAnsi="Times New Roman"/>
          <w:sz w:val="22"/>
        </w:rPr>
        <w:t>The Exchange provides information on a commercial basis except otherwise required by applicable laws, regulations, rules or Memorandums of Regulatory Cooperation for the purpose of assisting regulatory authorities or other related organs in performing their regulatory duties.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sz w:val="22"/>
        </w:rPr>
        <w:t>Article 6</w:t>
      </w:r>
      <w:r>
        <w:rPr>
          <w:rFonts w:ascii="Times New Roman" w:hAnsi="Times New Roman"/>
          <w:sz w:val="22"/>
        </w:rPr>
        <w:tab/>
      </w:r>
      <w:r>
        <w:rPr>
          <w:rFonts w:ascii="Times New Roman" w:hAnsi="Times New Roman"/>
          <w:sz w:val="22"/>
        </w:rPr>
        <w:t>The Exchange shall not be liable for the interruption of the information transmission or the malfunction of the transmission equipment due to force majeure, accidents or other reasons.</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sz w:val="22"/>
        </w:rPr>
        <w:t>Article 7</w:t>
      </w:r>
      <w:r>
        <w:rPr>
          <w:rFonts w:ascii="Times New Roman" w:hAnsi="Times New Roman"/>
          <w:sz w:val="22"/>
        </w:rPr>
        <w:tab/>
      </w:r>
      <w:r>
        <w:rPr>
          <w:rFonts w:ascii="Times New Roman" w:hAnsi="Times New Roman"/>
          <w:sz w:val="22"/>
        </w:rPr>
        <w:t>Information released by the Exchange is categorized into information subject to statutory disclosure and information subject to non-statutory disclosure. Information subject to statutory disclosure refers to the information that shall be disclosed by the Exchange under applicable laws, regulations and rules, while information subject to non-statutory disclosure refers to any information other than the information subject to statutory disclosure.</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sz w:val="22"/>
        </w:rPr>
        <w:t>Article 8</w:t>
      </w:r>
      <w:r>
        <w:rPr>
          <w:rFonts w:ascii="Times New Roman" w:hAnsi="Times New Roman"/>
          <w:sz w:val="22"/>
        </w:rPr>
        <w:tab/>
      </w:r>
      <w:r>
        <w:rPr>
          <w:rFonts w:ascii="Times New Roman" w:hAnsi="Times New Roman"/>
          <w:sz w:val="22"/>
        </w:rPr>
        <w:t xml:space="preserve">These Information Management Rules shall be applicable to the dissemination, operation, distribution and use of the Exchange’s information. The Exchange, Members, Delivery Storage Facilities, Designated Depository Banks, Designated Inspection Agencies, Clients, information service vendors, independent software vendors, and other institutions and individuals that operate, distribute, or use the Exchange’s information shall comply with these </w:t>
      </w:r>
      <w:r>
        <w:rPr>
          <w:rFonts w:ascii="Times New Roman" w:hAnsi="Times New Roman"/>
          <w:i/>
          <w:sz w:val="22"/>
        </w:rPr>
        <w:t>Information Management Rules</w:t>
      </w:r>
      <w:r>
        <w:rPr>
          <w:rFonts w:ascii="Times New Roman" w:hAnsi="Times New Roman"/>
          <w:sz w:val="22"/>
        </w:rPr>
        <w:t>.</w:t>
      </w:r>
    </w:p>
    <w:p>
      <w:pPr>
        <w:tabs>
          <w:tab w:val="left" w:pos="1418"/>
        </w:tabs>
        <w:adjustRightInd w:val="0"/>
        <w:snapToGrid w:val="0"/>
        <w:spacing w:after="312" w:afterLines="100" w:line="276" w:lineRule="auto"/>
        <w:jc w:val="center"/>
        <w:rPr>
          <w:rFonts w:ascii="Times New Roman" w:hAnsi="Times New Roman"/>
          <w:b/>
          <w:sz w:val="22"/>
        </w:rPr>
      </w:pPr>
      <w:r>
        <w:rPr>
          <w:rFonts w:ascii="Times New Roman" w:hAnsi="Times New Roman"/>
          <w:b/>
          <w:sz w:val="22"/>
        </w:rPr>
        <w:t>Chapter 2</w:t>
      </w:r>
      <w:r>
        <w:rPr>
          <w:rFonts w:ascii="Times New Roman" w:hAnsi="Times New Roman"/>
          <w:b/>
          <w:sz w:val="22"/>
        </w:rPr>
        <w:tab/>
      </w:r>
      <w:r>
        <w:rPr>
          <w:rFonts w:ascii="Times New Roman" w:hAnsi="Times New Roman"/>
          <w:b/>
          <w:sz w:val="22"/>
        </w:rPr>
        <w:t>INFORMATION CONTENTS AND DISSEMINATION</w:t>
      </w:r>
    </w:p>
    <w:p>
      <w:pPr>
        <w:tabs>
          <w:tab w:val="left" w:pos="1276"/>
        </w:tabs>
        <w:adjustRightInd w:val="0"/>
        <w:snapToGrid w:val="0"/>
        <w:spacing w:after="312" w:afterLines="100" w:line="276" w:lineRule="auto"/>
        <w:jc w:val="left"/>
        <w:rPr>
          <w:rFonts w:ascii="Times New Roman" w:hAnsi="Times New Roman"/>
          <w:sz w:val="22"/>
        </w:rPr>
      </w:pPr>
      <w:r>
        <w:rPr>
          <w:rFonts w:ascii="Times New Roman" w:hAnsi="Times New Roman"/>
          <w:b/>
          <w:sz w:val="22"/>
        </w:rPr>
        <w:t>Article 9</w:t>
      </w:r>
      <w:r>
        <w:rPr>
          <w:rFonts w:ascii="Times New Roman" w:hAnsi="Times New Roman"/>
          <w:sz w:val="22"/>
        </w:rPr>
        <w:tab/>
      </w:r>
      <w:r>
        <w:rPr>
          <w:rFonts w:ascii="Times New Roman" w:hAnsi="Times New Roman"/>
          <w:sz w:val="22"/>
        </w:rPr>
        <w:t>The Exchange disseminates information on a real-time, delayed, daily, weekly, monthly and annual basis as well as various statistics and historical contract data in accordance with relevant regulations and market requirements.</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The Exchange may adjust the content and the frequency of information release as it deems necessary.</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10</w:t>
      </w:r>
      <w:r>
        <w:rPr>
          <w:rFonts w:ascii="Times New Roman" w:hAnsi="Times New Roman"/>
          <w:sz w:val="22"/>
        </w:rPr>
        <w:tab/>
      </w:r>
      <w:r>
        <w:rPr>
          <w:rFonts w:ascii="Times New Roman" w:hAnsi="Times New Roman"/>
          <w:sz w:val="22"/>
        </w:rPr>
        <w:t>Real-time information, also known as the real-time market data, refers to the market data synchronously released with the trading activities centrally displayed at the Exchange. Delayed information refers to the market data that is released after a certain delay of the real-time market data release.</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Real-time and delayed market data include contract name, last price, price change, trading volume, open interest and the change thereof, bid price, ask price, bid volume, ask volume, settlement price, open price, close price, highest price, lowest price, previous settlement price, and other information specified by the Exchange.</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 xml:space="preserve">The Exchange timely disseminates real-time market data to Members for futures trading. </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11</w:t>
      </w:r>
      <w:r>
        <w:rPr>
          <w:rFonts w:ascii="Times New Roman" w:hAnsi="Times New Roman"/>
          <w:sz w:val="22"/>
        </w:rPr>
        <w:tab/>
      </w:r>
      <w:r>
        <w:rPr>
          <w:rFonts w:ascii="Times New Roman" w:hAnsi="Times New Roman"/>
          <w:sz w:val="22"/>
        </w:rPr>
        <w:t>Daily information refers to the trading information for each trading day published after the market close.</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Daily information mainly includes:</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daily market data, including product name, delivery month, contract code, open price, highest price, lowest price, close price, previous settlement price, settlement price, price change, trading volume, open interest and the change thereof, turnover, Delta, implied volatility, and exercise volume;</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the total trading volumes, long positions and short positions of the top twenty (20) Futures Firm Members (hereinafter referred to as the “FF Members”) on a futures contract, as well as the total trading volume, long position and short position of all FF members and non-FF members on a futures contract, if the open interest of a futures contract at the market close reaches the published threshold, unless otherwise prescribed by the Exchange; and</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the number of standard warrants and changes thereof since the last release of such information, etc..</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12</w:t>
      </w:r>
      <w:r>
        <w:rPr>
          <w:rFonts w:ascii="Times New Roman" w:hAnsi="Times New Roman"/>
          <w:sz w:val="22"/>
        </w:rPr>
        <w:tab/>
      </w:r>
      <w:r>
        <w:rPr>
          <w:rFonts w:ascii="Times New Roman" w:hAnsi="Times New Roman"/>
          <w:sz w:val="22"/>
        </w:rPr>
        <w:t>Weekly information refers to the weekly summary trading information published after the market close on the last trading day of each week.</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Weekly information mainly includes:</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weekly market data: product name, delivery month, contract code, open price of the week, highest price of the week, lowest price of the week, close price of the week, weekly price change (the difference between the close price at the end of this week and the settlement price at the end of the previous week), open interest of the week and the change thereof (the difference between the open interest at the end of this week and the open interest at the end of the previous week), settlement price of the last trading day of the week, trading volume of the week , turnover of the week, and exercise volume of an option contract; and </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the number of standard warrants and changes thereof since the last release of such information, etc.</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13</w:t>
      </w:r>
      <w:r>
        <w:rPr>
          <w:rFonts w:ascii="Times New Roman" w:hAnsi="Times New Roman"/>
          <w:sz w:val="22"/>
        </w:rPr>
        <w:tab/>
      </w:r>
      <w:r>
        <w:rPr>
          <w:rFonts w:ascii="Times New Roman" w:hAnsi="Times New Roman"/>
          <w:sz w:val="22"/>
        </w:rPr>
        <w:t>Monthly information refers to the monthly summary trading information published after the market close on the last trading day of each month.</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 xml:space="preserve">Monthly information mainly includes: </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product name, delivery month, contract code, open price of the month, highest price of the month, lowest price of the month, close price of the month, monthly price change (the difference between the close price at the end of this month and the settlement price at the end of the previous month), open interest of the month and the change thereof (the difference between open interest at the end of this month and the open interest at the end of the previous month), settlement price of the last trading day of the month, trading volume of the month，turnover of the month, and exercise volume of an option contract.</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14</w:t>
      </w:r>
      <w:r>
        <w:rPr>
          <w:rFonts w:ascii="Times New Roman" w:hAnsi="Times New Roman"/>
          <w:sz w:val="22"/>
        </w:rPr>
        <w:tab/>
      </w:r>
      <w:r>
        <w:rPr>
          <w:rFonts w:ascii="Times New Roman" w:hAnsi="Times New Roman"/>
          <w:sz w:val="22"/>
        </w:rPr>
        <w:t>Annual information refers to the current and historical annual data. Annual futures information mainly includes contract market data reports of the current and historical years and the trading summary of historical years. Annual options information mainly includes the total trading volume and total turnover of all options products, the trading volume and turnover by product, total exercise volume, and exercise volume by product.</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The Exchange may, if necessary, adjust the content of the annual information to be released.</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15</w:t>
      </w:r>
      <w:r>
        <w:rPr>
          <w:rFonts w:ascii="Times New Roman" w:hAnsi="Times New Roman"/>
          <w:sz w:val="22"/>
        </w:rPr>
        <w:tab/>
      </w:r>
      <w:r>
        <w:rPr>
          <w:rFonts w:ascii="Times New Roman" w:hAnsi="Times New Roman"/>
          <w:sz w:val="22"/>
        </w:rPr>
        <w:t>The Exchange publishes information through the Exchange’s technical system, the internet, trading seats, and other channels, and transmits the information through information service vendors, public media, and other organizations authorized by the Exchange.</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If trading activities are affected as a result of the malfunction of information service vendors, public media, etc. in disseminating real-time market data, the Exchange shall not be liable for the result.</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16</w:t>
      </w:r>
      <w:r>
        <w:rPr>
          <w:rFonts w:ascii="Times New Roman" w:hAnsi="Times New Roman"/>
          <w:b/>
          <w:sz w:val="22"/>
        </w:rPr>
        <w:tab/>
      </w:r>
      <w:r>
        <w:rPr>
          <w:rFonts w:ascii="Times New Roman" w:hAnsi="Times New Roman"/>
          <w:sz w:val="22"/>
        </w:rPr>
        <w:t>The Exchange shall timely release the final settlement price for each contract.</w:t>
      </w:r>
    </w:p>
    <w:p>
      <w:pPr>
        <w:adjustRightInd w:val="0"/>
        <w:snapToGrid w:val="0"/>
        <w:spacing w:after="312" w:afterLines="100" w:line="276" w:lineRule="auto"/>
        <w:jc w:val="left"/>
        <w:rPr>
          <w:rFonts w:ascii="Times New Roman" w:hAnsi="Times New Roman"/>
          <w:b/>
          <w:sz w:val="22"/>
        </w:rPr>
      </w:pPr>
      <w:r>
        <w:rPr>
          <w:rFonts w:ascii="Times New Roman" w:hAnsi="Times New Roman"/>
          <w:b/>
          <w:sz w:val="22"/>
        </w:rPr>
        <w:t>Article 17</w:t>
      </w:r>
      <w:r>
        <w:rPr>
          <w:rFonts w:ascii="Times New Roman" w:hAnsi="Times New Roman"/>
          <w:sz w:val="22"/>
        </w:rPr>
        <w:tab/>
      </w:r>
      <w:r>
        <w:rPr>
          <w:rFonts w:ascii="Times New Roman" w:hAnsi="Times New Roman"/>
          <w:sz w:val="22"/>
        </w:rPr>
        <w:t>Members, information service vendors, independent software vendors and other institutions shall be obligated to keep confidential the information obtained from the Exchange that is not suitable for publication.</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18</w:t>
      </w:r>
      <w:r>
        <w:rPr>
          <w:rFonts w:ascii="Times New Roman" w:hAnsi="Times New Roman"/>
          <w:b/>
          <w:sz w:val="22"/>
        </w:rPr>
        <w:tab/>
      </w:r>
      <w:r>
        <w:rPr>
          <w:rFonts w:ascii="Times New Roman" w:hAnsi="Times New Roman"/>
          <w:sz w:val="22"/>
        </w:rPr>
        <w:t>Members, Delivery Storage Facilities, Designated Depository Banks, information service vendors, designated public media, software developers and other institutions shall make a written commitment that they will not release false or misleading information.</w:t>
      </w:r>
    </w:p>
    <w:p>
      <w:pPr>
        <w:tabs>
          <w:tab w:val="left" w:pos="1418"/>
        </w:tabs>
        <w:adjustRightInd w:val="0"/>
        <w:snapToGrid w:val="0"/>
        <w:spacing w:after="312" w:afterLines="100" w:line="276" w:lineRule="auto"/>
        <w:jc w:val="center"/>
        <w:rPr>
          <w:rFonts w:ascii="Times New Roman" w:hAnsi="Times New Roman"/>
          <w:b/>
          <w:sz w:val="22"/>
        </w:rPr>
      </w:pPr>
      <w:r>
        <w:rPr>
          <w:rFonts w:ascii="Times New Roman" w:hAnsi="Times New Roman"/>
          <w:b/>
          <w:sz w:val="22"/>
        </w:rPr>
        <w:t>Chapter 3</w:t>
      </w:r>
      <w:r>
        <w:rPr>
          <w:rFonts w:ascii="Times New Roman" w:hAnsi="Times New Roman"/>
          <w:b/>
          <w:sz w:val="22"/>
        </w:rPr>
        <w:tab/>
      </w:r>
      <w:r>
        <w:rPr>
          <w:rFonts w:ascii="Times New Roman" w:hAnsi="Times New Roman"/>
          <w:b/>
          <w:sz w:val="22"/>
        </w:rPr>
        <w:t>INFORMATION SERVICE</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19</w:t>
      </w:r>
      <w:r>
        <w:rPr>
          <w:rFonts w:ascii="Times New Roman" w:hAnsi="Times New Roman"/>
          <w:sz w:val="22"/>
        </w:rPr>
        <w:tab/>
      </w:r>
      <w:r>
        <w:rPr>
          <w:rFonts w:ascii="Times New Roman" w:hAnsi="Times New Roman"/>
          <w:sz w:val="22"/>
        </w:rPr>
        <w:t>Information service includes information distribution service and value-added information service. Information distribution service refers to the distribution of the Exchange’s information to other institutions or ultimate information subscribers (hereinafter referred to as the “ultimate subscribers”) and the general public. Value-added information service refers to processing the Exchange’s information or providing value-added services in relation to such information.</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20</w:t>
      </w:r>
      <w:r>
        <w:rPr>
          <w:rFonts w:ascii="Times New Roman" w:hAnsi="Times New Roman"/>
          <w:sz w:val="22"/>
        </w:rPr>
        <w:tab/>
      </w:r>
      <w:r>
        <w:rPr>
          <w:rFonts w:ascii="Times New Roman" w:hAnsi="Times New Roman"/>
          <w:sz w:val="22"/>
        </w:rPr>
        <w:t>Any entity undertaking information service business shall be licensed or authorized by the Exchange, and enter into an information licensing agreement with the Exchange.</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21</w:t>
      </w:r>
      <w:r>
        <w:rPr>
          <w:rFonts w:ascii="Times New Roman" w:hAnsi="Times New Roman"/>
          <w:sz w:val="22"/>
        </w:rPr>
        <w:tab/>
      </w:r>
      <w:r>
        <w:rPr>
          <w:rFonts w:ascii="Times New Roman" w:hAnsi="Times New Roman"/>
          <w:sz w:val="22"/>
        </w:rPr>
        <w:t>An applicant for information distribution service shall meet the following criteria:</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having the business scope related to information service, </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having adequate fund, technology and management conditions recognized by the Exchange; and</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meeting other requirements prescribed by the Exchange.</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22</w:t>
      </w:r>
      <w:r>
        <w:rPr>
          <w:rFonts w:ascii="Times New Roman" w:hAnsi="Times New Roman"/>
          <w:sz w:val="22"/>
        </w:rPr>
        <w:tab/>
      </w:r>
      <w:r>
        <w:rPr>
          <w:rFonts w:ascii="Times New Roman" w:hAnsi="Times New Roman"/>
          <w:sz w:val="22"/>
        </w:rPr>
        <w:t>An applicant for value-added information service shall meet the following criteria:</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having the capability and qualification for value-added information development; and</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other requirements prescribed by the Exchange.</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23</w:t>
      </w:r>
      <w:r>
        <w:rPr>
          <w:rFonts w:ascii="Times New Roman" w:hAnsi="Times New Roman"/>
          <w:sz w:val="22"/>
        </w:rPr>
        <w:tab/>
      </w:r>
      <w:r>
        <w:rPr>
          <w:rFonts w:ascii="Times New Roman" w:hAnsi="Times New Roman"/>
          <w:sz w:val="22"/>
        </w:rPr>
        <w:t>An applicant for information service shall submit the following documents to the Exchange:</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an application form for information service;</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identity documents of the legal representative or the authorized representative;</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supporting documents showing the corresponding capability, qualification or license for information distribution and/or value-added information development;</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supporting documents of its legally incorporated; and</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(v)</w:t>
      </w:r>
      <w:r>
        <w:rPr>
          <w:rFonts w:ascii="Times New Roman" w:hAnsi="Times New Roman"/>
          <w:sz w:val="22"/>
        </w:rPr>
        <w:tab/>
      </w:r>
      <w:r>
        <w:rPr>
          <w:rFonts w:ascii="Times New Roman" w:hAnsi="Times New Roman"/>
          <w:sz w:val="22"/>
        </w:rPr>
        <w:t>other documents required by the Exchange.</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24</w:t>
      </w:r>
      <w:r>
        <w:rPr>
          <w:rFonts w:ascii="Times New Roman" w:hAnsi="Times New Roman"/>
          <w:sz w:val="22"/>
        </w:rPr>
        <w:tab/>
      </w:r>
      <w:r>
        <w:rPr>
          <w:rFonts w:ascii="Times New Roman" w:hAnsi="Times New Roman"/>
          <w:sz w:val="22"/>
        </w:rPr>
        <w:t>An applicant applying for direct connection to the Exchange’s system shall pass the Exchange’s connection test. Its connection to the Exchange’s system shall not interfere in the trading activities on the Exchange. The Exchange may restrict such connection if necessary.</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Any information service vendor intending to change its connection mode shall obtain the Exchange’s approval in advance.</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25</w:t>
      </w:r>
      <w:r>
        <w:rPr>
          <w:rFonts w:ascii="Times New Roman" w:hAnsi="Times New Roman"/>
          <w:sz w:val="22"/>
        </w:rPr>
        <w:tab/>
      </w:r>
      <w:r>
        <w:rPr>
          <w:rFonts w:ascii="Times New Roman" w:hAnsi="Times New Roman"/>
          <w:sz w:val="22"/>
        </w:rPr>
        <w:t>Each information service vendor and Member shall enter into an agreement related to information service with the Exchange, shall receive, store, and distribute the information within the permissible scope, or undertake value-added development of the information in strict compliance with the agreement, and shall fulfill the obligations stipulated in the agreement.</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Without the permission of the Exchange, no person shall use the information for any purpose other than those specified in the agreement.</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26</w:t>
      </w:r>
      <w:r>
        <w:rPr>
          <w:rFonts w:ascii="Times New Roman" w:hAnsi="Times New Roman"/>
          <w:sz w:val="22"/>
        </w:rPr>
        <w:tab/>
      </w:r>
      <w:r>
        <w:rPr>
          <w:rFonts w:ascii="Times New Roman" w:hAnsi="Times New Roman"/>
          <w:sz w:val="22"/>
        </w:rPr>
        <w:t>Information distribution service vendors and Members shall ensure the authenticity, accuracy, and completeness of the information they distribute, and shall identify the source of the information.</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Whenever an information distribution service vendor or a Member discovers any error in the information it transmitted or distributed, or in the news simultaneously distributed, it shall notify the Exchange promptly, and make timely corrections and public explanations.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27</w:t>
      </w:r>
      <w:r>
        <w:rPr>
          <w:rFonts w:ascii="Times New Roman" w:hAnsi="Times New Roman"/>
          <w:sz w:val="22"/>
        </w:rPr>
        <w:tab/>
      </w:r>
      <w:r>
        <w:rPr>
          <w:rFonts w:ascii="Times New Roman" w:hAnsi="Times New Roman"/>
          <w:sz w:val="22"/>
        </w:rPr>
        <w:t>When transmitting or distributing the information, information distribution service vendors and Members shall take necessary technical measures to prevent such information from data theft or sale, or any unauthorized access.</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Without the approval of the Exchange, information distribution service vendors and Members shall not sell or transfer the information to any other person or re-distribute the information in any way to any other venues.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28</w:t>
      </w:r>
      <w:r>
        <w:rPr>
          <w:rFonts w:ascii="Times New Roman" w:hAnsi="Times New Roman"/>
          <w:sz w:val="22"/>
        </w:rPr>
        <w:tab/>
      </w:r>
      <w:r>
        <w:rPr>
          <w:rFonts w:ascii="Times New Roman" w:hAnsi="Times New Roman"/>
          <w:sz w:val="22"/>
        </w:rPr>
        <w:t>Before transmitting information to other institutions for re-distribution or value-added development, an information distribution service vendor shall notify the Exchange and require such institutions to provide documents proving that they have obtained the Exchange’s authorization or license. If such institutions fail to provide the documents, the information distribution service vendor shall not transmit information to such institutions.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29</w:t>
      </w:r>
      <w:r>
        <w:rPr>
          <w:rFonts w:ascii="Times New Roman" w:hAnsi="Times New Roman"/>
          <w:sz w:val="22"/>
        </w:rPr>
        <w:tab/>
      </w:r>
      <w:r>
        <w:rPr>
          <w:rFonts w:ascii="Times New Roman" w:hAnsi="Times New Roman"/>
          <w:sz w:val="22"/>
        </w:rPr>
        <w:t>An information distribution service vendor shall keep the information they transmit or distribute each day for more than thirty (30) days.</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In case of any change to its legal representative or authorized representative, contact person, business address, contact number, fax number or any other items that shall be reported as required by the Exchange, the information distribution service vendor shall be reported as required by the Exchange.</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30</w:t>
      </w:r>
      <w:r>
        <w:rPr>
          <w:rFonts w:ascii="Times New Roman" w:hAnsi="Times New Roman"/>
          <w:sz w:val="22"/>
        </w:rPr>
        <w:tab/>
      </w:r>
      <w:r>
        <w:rPr>
          <w:rFonts w:ascii="Times New Roman" w:hAnsi="Times New Roman"/>
          <w:sz w:val="22"/>
        </w:rPr>
        <w:t>An information distribution service vendor shall take accurate record of their subscribers’ information, and properly keep the records and materials in relation to fee collection. Such information, records and materials shall be preserved for no less than twenty (20) years.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31</w:t>
      </w:r>
      <w:r>
        <w:rPr>
          <w:rFonts w:ascii="Times New Roman" w:hAnsi="Times New Roman"/>
          <w:sz w:val="22"/>
        </w:rPr>
        <w:tab/>
      </w:r>
      <w:r>
        <w:rPr>
          <w:rFonts w:ascii="Times New Roman" w:hAnsi="Times New Roman"/>
          <w:sz w:val="22"/>
        </w:rPr>
        <w:t>An information distribution service vendor shall, within seven (7) trading days after signing the information licensing agreement, provide the Exchange with the terminal for receiving the information they distribute.</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32</w:t>
      </w:r>
      <w:r>
        <w:rPr>
          <w:rFonts w:ascii="Times New Roman" w:hAnsi="Times New Roman"/>
          <w:sz w:val="22"/>
        </w:rPr>
        <w:tab/>
      </w:r>
      <w:r>
        <w:rPr>
          <w:rFonts w:ascii="Times New Roman" w:hAnsi="Times New Roman"/>
          <w:sz w:val="22"/>
        </w:rPr>
        <w:t>A value-added information service vendor shall ensure the authenticity, accuracy and completeness of the information to be used for value-added development. Information being processed shall be identified the name of value-added developer and other clarifications.</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Whenever a value-added information service vendor discovers errors or misleading attributes in the information they have processed, it shall notify the Exchange promptly, and make timely corrections and public explanations.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33</w:t>
      </w:r>
      <w:r>
        <w:rPr>
          <w:rFonts w:ascii="Times New Roman" w:hAnsi="Times New Roman"/>
          <w:sz w:val="22"/>
        </w:rPr>
        <w:tab/>
      </w:r>
      <w:r>
        <w:rPr>
          <w:rFonts w:ascii="Times New Roman" w:hAnsi="Times New Roman"/>
          <w:sz w:val="22"/>
        </w:rPr>
        <w:t>A value-added information service vendor shall undertake value-added information development for the purposes addressed in the agreement only. Without prior written consent of the Exchange, it shall not undertake value-added development for any other purpose.</w:t>
      </w:r>
    </w:p>
    <w:p>
      <w:pPr>
        <w:tabs>
          <w:tab w:val="left" w:pos="1418"/>
        </w:tabs>
        <w:adjustRightInd w:val="0"/>
        <w:snapToGrid w:val="0"/>
        <w:spacing w:after="312" w:afterLines="100" w:line="276" w:lineRule="auto"/>
        <w:jc w:val="center"/>
        <w:rPr>
          <w:rFonts w:ascii="Times New Roman" w:hAnsi="Times New Roman"/>
          <w:b/>
          <w:sz w:val="22"/>
        </w:rPr>
      </w:pPr>
      <w:r>
        <w:rPr>
          <w:rFonts w:ascii="Times New Roman" w:hAnsi="Times New Roman"/>
          <w:b/>
          <w:sz w:val="22"/>
        </w:rPr>
        <w:t>Chapter 4</w:t>
      </w:r>
      <w:r>
        <w:rPr>
          <w:rFonts w:ascii="Times New Roman" w:hAnsi="Times New Roman"/>
          <w:b/>
          <w:sz w:val="22"/>
        </w:rPr>
        <w:tab/>
      </w:r>
      <w:r>
        <w:rPr>
          <w:rFonts w:ascii="Times New Roman" w:hAnsi="Times New Roman"/>
          <w:b/>
          <w:sz w:val="22"/>
        </w:rPr>
        <w:t>USE OF INFORMATION</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34</w:t>
      </w:r>
      <w:r>
        <w:rPr>
          <w:rFonts w:ascii="Times New Roman" w:hAnsi="Times New Roman"/>
          <w:sz w:val="22"/>
        </w:rPr>
        <w:tab/>
      </w:r>
      <w:r>
        <w:rPr>
          <w:rFonts w:ascii="Times New Roman" w:hAnsi="Times New Roman"/>
          <w:sz w:val="22"/>
        </w:rPr>
        <w:t>An ultimate subscriber refers to the ultimate end-user who subscribes and receives the information from the Exchange or the information service vendors authorized by the Exchange. An ultimate subscriber can only obtain the information from the Exchange or the information service vendors authorized by the Exchange.</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35</w:t>
      </w:r>
      <w:r>
        <w:rPr>
          <w:rFonts w:ascii="Times New Roman" w:hAnsi="Times New Roman"/>
          <w:sz w:val="22"/>
        </w:rPr>
        <w:tab/>
      </w:r>
      <w:r>
        <w:rPr>
          <w:rFonts w:ascii="Times New Roman" w:hAnsi="Times New Roman"/>
          <w:sz w:val="22"/>
        </w:rPr>
        <w:t xml:space="preserve">An information service vendor shall enter into a written agreement with each ultimate subscriber. Such agreement shall explicitly specify the ultimate subscriber’s compliance with the relevant provisions in these </w:t>
      </w:r>
      <w:r>
        <w:rPr>
          <w:rFonts w:ascii="Times New Roman" w:hAnsi="Times New Roman"/>
          <w:i/>
          <w:sz w:val="22"/>
        </w:rPr>
        <w:t>Information Management Rules</w:t>
      </w:r>
      <w:r>
        <w:rPr>
          <w:rFonts w:ascii="Times New Roman" w:hAnsi="Times New Roman"/>
          <w:sz w:val="22"/>
        </w:rPr>
        <w:t>, as well as sanctions against the ultimate subscriber for unauthorized access or distribution of the information, and the corresponding legal liabilities.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36</w:t>
      </w:r>
      <w:r>
        <w:rPr>
          <w:rFonts w:ascii="Times New Roman" w:hAnsi="Times New Roman"/>
          <w:sz w:val="22"/>
        </w:rPr>
        <w:tab/>
      </w:r>
      <w:r>
        <w:rPr>
          <w:rFonts w:ascii="Times New Roman" w:hAnsi="Times New Roman"/>
          <w:sz w:val="22"/>
        </w:rPr>
        <w:t>When the Exchange checks information about ultimate subscribers, information service vendors shall promptly provide the Exchange with a copy of the agreement they have entered into with the subscribers as well as relevant information of the subscribers.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37</w:t>
      </w:r>
      <w:r>
        <w:rPr>
          <w:rFonts w:ascii="Times New Roman" w:hAnsi="Times New Roman"/>
          <w:sz w:val="22"/>
        </w:rPr>
        <w:tab/>
      </w:r>
      <w:r>
        <w:rPr>
          <w:rFonts w:ascii="Times New Roman" w:hAnsi="Times New Roman"/>
          <w:sz w:val="22"/>
        </w:rPr>
        <w:t>An information service vendor shall submit a list to the Exchange about the terminals used by the subscribers and any additions or changes in the number of the terminals on a monthly basis.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38</w:t>
      </w:r>
      <w:r>
        <w:rPr>
          <w:rFonts w:ascii="Times New Roman" w:hAnsi="Times New Roman"/>
          <w:sz w:val="22"/>
        </w:rPr>
        <w:tab/>
      </w:r>
      <w:r>
        <w:rPr>
          <w:rFonts w:ascii="Times New Roman" w:hAnsi="Times New Roman"/>
          <w:sz w:val="22"/>
        </w:rPr>
        <w:t>An information service vendor shall require each ultimate subscriber to commit in the user agreement that they will only use the information received for their own purpose, and will not sell or transfer the information to any other person or re-distribute the information by any other means.</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An information service vendor shall prevent their ultimate subscribers from re-distributing the information by any means without the authorization of the Exchange.</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An information service vendor shall assist the Exchange in managing its ultimate subscribers, and shall not evade or refuse to fulfill cooperation obligations.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39</w:t>
      </w:r>
      <w:r>
        <w:rPr>
          <w:rFonts w:ascii="Times New Roman" w:hAnsi="Times New Roman"/>
          <w:sz w:val="22"/>
        </w:rPr>
        <w:tab/>
      </w:r>
      <w:r>
        <w:rPr>
          <w:rFonts w:ascii="Times New Roman" w:hAnsi="Times New Roman"/>
          <w:sz w:val="22"/>
        </w:rPr>
        <w:t>Whenever an information service vendor discovers any infringement or potential infringement of the Exchange’s information rights, it shall notify the Exchange promptly, assist the Exchange in investigation, and cooperate with the Exchange in legal proceedings or other legal measures against such infringement.</w:t>
      </w:r>
    </w:p>
    <w:p>
      <w:pPr>
        <w:tabs>
          <w:tab w:val="left" w:pos="1418"/>
        </w:tabs>
        <w:adjustRightInd w:val="0"/>
        <w:snapToGrid w:val="0"/>
        <w:spacing w:after="312" w:afterLines="100" w:line="276" w:lineRule="auto"/>
        <w:jc w:val="center"/>
        <w:rPr>
          <w:rFonts w:ascii="Times New Roman" w:hAnsi="Times New Roman"/>
          <w:b/>
          <w:sz w:val="22"/>
        </w:rPr>
      </w:pPr>
      <w:r>
        <w:rPr>
          <w:rFonts w:ascii="Times New Roman" w:hAnsi="Times New Roman"/>
          <w:b/>
          <w:sz w:val="22"/>
        </w:rPr>
        <w:t>Chapter 5</w:t>
      </w:r>
      <w:r>
        <w:rPr>
          <w:rFonts w:ascii="Times New Roman" w:hAnsi="Times New Roman"/>
          <w:b/>
          <w:sz w:val="22"/>
        </w:rPr>
        <w:tab/>
      </w:r>
      <w:r>
        <w:rPr>
          <w:rFonts w:ascii="Times New Roman" w:hAnsi="Times New Roman"/>
          <w:b/>
          <w:sz w:val="22"/>
        </w:rPr>
        <w:t>FEE STANDARDS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40</w:t>
      </w:r>
      <w:r>
        <w:rPr>
          <w:rFonts w:ascii="Times New Roman" w:hAnsi="Times New Roman"/>
          <w:sz w:val="22"/>
        </w:rPr>
        <w:tab/>
      </w:r>
      <w:r>
        <w:rPr>
          <w:rFonts w:ascii="Times New Roman" w:hAnsi="Times New Roman"/>
          <w:sz w:val="22"/>
        </w:rPr>
        <w:t>Each information distribution service vendor or value-added information service vendor shall pay a fee in accordance with the fee standards prescribed by the Exchange.</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The Exchange may change the charging items and fee standards based on the market conditions.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41</w:t>
      </w:r>
      <w:r>
        <w:rPr>
          <w:rFonts w:ascii="Times New Roman" w:hAnsi="Times New Roman"/>
          <w:sz w:val="22"/>
        </w:rPr>
        <w:tab/>
      </w:r>
      <w:r>
        <w:rPr>
          <w:rFonts w:ascii="Times New Roman" w:hAnsi="Times New Roman"/>
          <w:sz w:val="22"/>
        </w:rPr>
        <w:t>The Exchange will distinguish between information subject to statutory disclosure and information subject to non-statutory disclosure in accordance with relevant provisions and market conditions, and establish a differential fee structure based on various levels or depths of real-time, delayed, daily, weekly, monthly or annual information, as well as various types of statistics and historical contract data.</w:t>
      </w:r>
    </w:p>
    <w:p>
      <w:pPr>
        <w:tabs>
          <w:tab w:val="left" w:pos="1418"/>
        </w:tabs>
        <w:adjustRightInd w:val="0"/>
        <w:snapToGrid w:val="0"/>
        <w:spacing w:after="312" w:afterLines="100" w:line="276" w:lineRule="auto"/>
        <w:jc w:val="center"/>
        <w:rPr>
          <w:rFonts w:ascii="Times New Roman" w:hAnsi="Times New Roman"/>
          <w:b/>
          <w:sz w:val="22"/>
        </w:rPr>
      </w:pPr>
      <w:r>
        <w:rPr>
          <w:rFonts w:ascii="Times New Roman" w:hAnsi="Times New Roman"/>
          <w:b/>
          <w:sz w:val="22"/>
        </w:rPr>
        <w:t>Chapter 6</w:t>
      </w:r>
      <w:r>
        <w:rPr>
          <w:rFonts w:ascii="Times New Roman" w:hAnsi="Times New Roman"/>
          <w:b/>
          <w:sz w:val="22"/>
        </w:rPr>
        <w:tab/>
      </w:r>
      <w:r>
        <w:rPr>
          <w:rFonts w:ascii="Times New Roman" w:hAnsi="Times New Roman"/>
          <w:b/>
          <w:sz w:val="22"/>
        </w:rPr>
        <w:t>SUPERVISION</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42</w:t>
      </w:r>
      <w:r>
        <w:rPr>
          <w:rFonts w:ascii="Times New Roman" w:hAnsi="Times New Roman"/>
          <w:b/>
          <w:sz w:val="22"/>
        </w:rPr>
        <w:tab/>
      </w:r>
      <w:r>
        <w:rPr>
          <w:rFonts w:ascii="Times New Roman" w:hAnsi="Times New Roman"/>
          <w:sz w:val="22"/>
        </w:rPr>
        <w:t>If any entity or individual disseminates, transmits or distributes information without prior authorization of the Exchange, the Exchange may terminate the dissemination, transmission or distribution of the information by such entity or individual. The Exchange may by itself or require other information distribution service vendors to terminate providing information to such entity or individual, and pursue the legal liabilities thereof.</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If an information distribution service vendor fails to take necessary technical measures, which results in data theft and sale, or unauthorized access, the Exchange may, by itself or require other information distribution service vendors to, suspend or terminate to provide the information to such entity.</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43</w:t>
      </w:r>
      <w:r>
        <w:rPr>
          <w:rFonts w:ascii="Times New Roman" w:hAnsi="Times New Roman"/>
          <w:sz w:val="22"/>
        </w:rPr>
        <w:tab/>
      </w:r>
      <w:r>
        <w:rPr>
          <w:rFonts w:ascii="Times New Roman" w:hAnsi="Times New Roman"/>
          <w:sz w:val="22"/>
        </w:rPr>
        <w:t>If any entity or individual undertakes value-added information development based on the information without the authorization of the Exchange, the Exchange may require the entity or individual to stop the value-added development, prohibit the entity or individual from using the value-added products, suspend or terminate providing the information to such entity or individual by itself or require information distribution service vendors to do so, and trace the legal liabilities thereof. Any profit gained from such value-added development shall belong to the Exchange.</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44</w:t>
      </w:r>
      <w:r>
        <w:rPr>
          <w:rFonts w:ascii="Times New Roman" w:hAnsi="Times New Roman"/>
          <w:sz w:val="22"/>
        </w:rPr>
        <w:tab/>
      </w:r>
      <w:r>
        <w:rPr>
          <w:rFonts w:ascii="Times New Roman" w:hAnsi="Times New Roman"/>
          <w:sz w:val="22"/>
        </w:rPr>
        <w:t xml:space="preserve">The Exchange may check and review the purpose, methods, clients, fee collection, etc. of entities and individuals in disseminating and using the information of the Exchange. </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When required by the Exchange, an information distribution service vendor shall immediately suspend or terminate providing information to the designated entity or individual.</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45</w:t>
      </w:r>
      <w:r>
        <w:rPr>
          <w:rFonts w:ascii="Times New Roman" w:hAnsi="Times New Roman"/>
          <w:sz w:val="22"/>
        </w:rPr>
        <w:tab/>
      </w:r>
      <w:r>
        <w:rPr>
          <w:rFonts w:ascii="Times New Roman" w:hAnsi="Times New Roman"/>
          <w:sz w:val="22"/>
        </w:rPr>
        <w:t>In case of any following circumstance, no fees need to be paid to the Exchange for the use of information:</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 xml:space="preserve">(i)    using published information for individual learning or research; </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translating or copying a small amount of published information for classroom education or scientific research; </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appropriate citation of published information for introducing, commenting or explaining a certain issue; </w:t>
      </w:r>
    </w:p>
    <w:p>
      <w:pPr>
        <w:tabs>
          <w:tab w:val="left" w:pos="709"/>
        </w:tabs>
        <w:adjustRightInd w:val="0"/>
        <w:snapToGrid w:val="0"/>
        <w:spacing w:after="312" w:afterLines="100" w:line="276"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other reasonable uses of published information accepted by the Exchange.</w:t>
      </w:r>
    </w:p>
    <w:p>
      <w:pPr>
        <w:adjustRightInd w:val="0"/>
        <w:snapToGrid w:val="0"/>
        <w:spacing w:after="312" w:afterLines="100" w:line="276" w:lineRule="auto"/>
        <w:jc w:val="left"/>
        <w:rPr>
          <w:rFonts w:ascii="Times New Roman" w:hAnsi="Times New Roman"/>
          <w:sz w:val="22"/>
        </w:rPr>
      </w:pPr>
      <w:r>
        <w:rPr>
          <w:rFonts w:ascii="Times New Roman" w:hAnsi="Times New Roman"/>
          <w:sz w:val="22"/>
        </w:rPr>
        <w:t>However, the source and author of such information shall be identified. Any unauthorized publication or distribution based on such information is strictly prohibited, and any other rights of the Exchange shall not be infringed.</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46</w:t>
      </w:r>
      <w:r>
        <w:rPr>
          <w:rFonts w:ascii="Times New Roman" w:hAnsi="Times New Roman"/>
          <w:sz w:val="22"/>
        </w:rPr>
        <w:tab/>
      </w:r>
      <w:r>
        <w:rPr>
          <w:rFonts w:ascii="Times New Roman" w:hAnsi="Times New Roman"/>
          <w:sz w:val="22"/>
        </w:rPr>
        <w:t>A value-added information service vendor shall file the specified value-added products with the Exchange for record. If any information service vendor fails to meet the filing obligations, the Exchange may by itself or require information distribution service vendors to terminate providing the information, and deal with such failure in accordance with the information licensing agreement.</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47</w:t>
      </w:r>
      <w:r>
        <w:rPr>
          <w:rFonts w:ascii="Times New Roman" w:hAnsi="Times New Roman"/>
          <w:sz w:val="22"/>
        </w:rPr>
        <w:tab/>
      </w:r>
      <w:r>
        <w:rPr>
          <w:rFonts w:ascii="Times New Roman" w:hAnsi="Times New Roman"/>
          <w:sz w:val="22"/>
        </w:rPr>
        <w:t xml:space="preserve">Any violation of these </w:t>
      </w:r>
      <w:r>
        <w:rPr>
          <w:rFonts w:ascii="Times New Roman" w:hAnsi="Times New Roman"/>
          <w:i/>
          <w:sz w:val="22"/>
        </w:rPr>
        <w:t>Information Management Rules</w:t>
      </w:r>
      <w:r>
        <w:rPr>
          <w:rFonts w:ascii="Times New Roman" w:hAnsi="Times New Roman"/>
          <w:sz w:val="22"/>
        </w:rPr>
        <w:t xml:space="preserve"> conducted by any information distribution service vendor or value-added information service vendor shall be subject to the </w:t>
      </w:r>
      <w:r>
        <w:rPr>
          <w:rFonts w:ascii="Times New Roman" w:hAnsi="Times New Roman"/>
          <w:i/>
          <w:sz w:val="22"/>
        </w:rPr>
        <w:t>Enforcement Rules of the Shanghai Futures Exchange</w:t>
      </w:r>
      <w:r>
        <w:rPr>
          <w:rFonts w:ascii="Times New Roman" w:hAnsi="Times New Roman"/>
          <w:sz w:val="22"/>
        </w:rPr>
        <w:t xml:space="preserve"> and the relevant agreements.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48</w:t>
      </w:r>
      <w:r>
        <w:rPr>
          <w:rFonts w:ascii="Times New Roman" w:hAnsi="Times New Roman"/>
          <w:sz w:val="22"/>
        </w:rPr>
        <w:tab/>
      </w:r>
      <w:r>
        <w:rPr>
          <w:rFonts w:ascii="Times New Roman" w:hAnsi="Times New Roman"/>
          <w:sz w:val="22"/>
        </w:rPr>
        <w:t xml:space="preserve">Besides these </w:t>
      </w:r>
      <w:r>
        <w:rPr>
          <w:rFonts w:ascii="Times New Roman" w:hAnsi="Times New Roman"/>
          <w:i/>
          <w:sz w:val="22"/>
        </w:rPr>
        <w:t>Information Management Rules</w:t>
      </w:r>
      <w:r>
        <w:rPr>
          <w:rFonts w:ascii="Times New Roman" w:hAnsi="Times New Roman"/>
          <w:sz w:val="22"/>
        </w:rPr>
        <w:t xml:space="preserve">, any Member that uses or distributes the information shall also comply with the </w:t>
      </w:r>
      <w:r>
        <w:rPr>
          <w:rFonts w:ascii="Times New Roman" w:hAnsi="Times New Roman"/>
          <w:i/>
          <w:sz w:val="22"/>
        </w:rPr>
        <w:t>Membership Management Rules of the Shanghai Futures Exchange</w:t>
      </w:r>
      <w:r>
        <w:rPr>
          <w:rFonts w:ascii="Times New Roman" w:hAnsi="Times New Roman"/>
          <w:sz w:val="22"/>
        </w:rPr>
        <w:t xml:space="preserve">, etc. Any violations of these </w:t>
      </w:r>
      <w:r>
        <w:rPr>
          <w:rFonts w:ascii="Times New Roman" w:hAnsi="Times New Roman"/>
          <w:i/>
          <w:sz w:val="22"/>
        </w:rPr>
        <w:t xml:space="preserve">Information Management Rules </w:t>
      </w:r>
      <w:r>
        <w:rPr>
          <w:rFonts w:ascii="Times New Roman" w:hAnsi="Times New Roman"/>
          <w:sz w:val="22"/>
        </w:rPr>
        <w:t xml:space="preserve">shall be subject to the </w:t>
      </w:r>
      <w:r>
        <w:rPr>
          <w:rFonts w:ascii="Times New Roman" w:hAnsi="Times New Roman"/>
          <w:i/>
          <w:sz w:val="22"/>
        </w:rPr>
        <w:t>Enforcement Rules of the Shanghai Futures Exchange</w:t>
      </w:r>
      <w:r>
        <w:rPr>
          <w:rFonts w:ascii="Times New Roman" w:hAnsi="Times New Roman"/>
          <w:sz w:val="22"/>
        </w:rPr>
        <w:t xml:space="preserve"> and the relevant agreements.</w:t>
      </w:r>
    </w:p>
    <w:p>
      <w:pPr>
        <w:tabs>
          <w:tab w:val="left" w:pos="1418"/>
        </w:tabs>
        <w:adjustRightInd w:val="0"/>
        <w:snapToGrid w:val="0"/>
        <w:spacing w:after="312" w:afterLines="100" w:line="276" w:lineRule="auto"/>
        <w:jc w:val="center"/>
        <w:rPr>
          <w:rFonts w:ascii="Times New Roman" w:hAnsi="Times New Roman"/>
          <w:b/>
          <w:sz w:val="22"/>
        </w:rPr>
      </w:pPr>
      <w:r>
        <w:rPr>
          <w:rFonts w:ascii="Times New Roman" w:hAnsi="Times New Roman"/>
          <w:b/>
          <w:sz w:val="22"/>
        </w:rPr>
        <w:t>Chapter 7</w:t>
      </w:r>
      <w:r>
        <w:rPr>
          <w:rFonts w:ascii="Times New Roman" w:hAnsi="Times New Roman"/>
          <w:b/>
          <w:sz w:val="22"/>
        </w:rPr>
        <w:tab/>
      </w:r>
      <w:r>
        <w:rPr>
          <w:rFonts w:ascii="Times New Roman" w:hAnsi="Times New Roman"/>
          <w:b/>
          <w:sz w:val="22"/>
        </w:rPr>
        <w:t>MISCELLANEOUS</w:t>
      </w:r>
    </w:p>
    <w:p>
      <w:pPr>
        <w:adjustRightInd w:val="0"/>
        <w:snapToGrid w:val="0"/>
        <w:spacing w:after="312" w:afterLines="100" w:line="276" w:lineRule="auto"/>
        <w:jc w:val="left"/>
        <w:rPr>
          <w:rFonts w:ascii="Times New Roman" w:hAnsi="Times New Roman"/>
          <w:sz w:val="22"/>
        </w:rPr>
      </w:pPr>
      <w:r>
        <w:rPr>
          <w:rFonts w:ascii="Times New Roman" w:hAnsi="Times New Roman"/>
          <w:b/>
          <w:sz w:val="22"/>
        </w:rPr>
        <w:t>Article 49</w:t>
      </w:r>
      <w:r>
        <w:rPr>
          <w:rFonts w:ascii="Times New Roman" w:hAnsi="Times New Roman"/>
          <w:sz w:val="22"/>
        </w:rPr>
        <w:tab/>
      </w:r>
      <w:r>
        <w:rPr>
          <w:rFonts w:ascii="Times New Roman" w:hAnsi="Times New Roman"/>
          <w:sz w:val="22"/>
        </w:rPr>
        <w:t xml:space="preserve">The Exchange reserves the right to interpret these </w:t>
      </w:r>
      <w:r>
        <w:rPr>
          <w:rFonts w:ascii="Times New Roman" w:hAnsi="Times New Roman"/>
          <w:i/>
          <w:sz w:val="22"/>
        </w:rPr>
        <w:t>Information Management Rules</w:t>
      </w:r>
      <w:r>
        <w:rPr>
          <w:rFonts w:ascii="Times New Roman" w:hAnsi="Times New Roman"/>
          <w:sz w:val="22"/>
        </w:rPr>
        <w:t>.</w:t>
      </w:r>
    </w:p>
    <w:p>
      <w:pPr>
        <w:adjustRightInd w:val="0"/>
        <w:snapToGrid w:val="0"/>
        <w:spacing w:after="100" w:line="276" w:lineRule="auto"/>
        <w:jc w:val="left"/>
        <w:rPr>
          <w:rFonts w:ascii="Times New Roman" w:hAnsi="Times New Roman"/>
          <w:sz w:val="22"/>
        </w:rPr>
      </w:pPr>
      <w:r>
        <w:rPr>
          <w:rFonts w:ascii="Times New Roman" w:hAnsi="Times New Roman"/>
          <w:b/>
          <w:sz w:val="22"/>
        </w:rPr>
        <w:t>Article 50</w:t>
      </w:r>
      <w:r>
        <w:rPr>
          <w:rFonts w:ascii="Times New Roman" w:hAnsi="Times New Roman"/>
          <w:sz w:val="22"/>
        </w:rPr>
        <w:tab/>
      </w:r>
      <w:r>
        <w:rPr>
          <w:rFonts w:ascii="Times New Roman" w:hAnsi="Times New Roman"/>
          <w:sz w:val="22"/>
        </w:rPr>
        <w:t xml:space="preserve">These Information Management Rules take effect on </w:t>
      </w:r>
      <w:r>
        <w:rPr>
          <w:rFonts w:ascii="Times New Roman" w:hAnsi="Times New Roman" w:eastAsia="等线"/>
          <w:bCs/>
          <w:snapToGrid w:val="0"/>
          <w:kern w:val="22"/>
          <w:sz w:val="22"/>
        </w:rPr>
        <w:t>October 23, 2024</w:t>
      </w:r>
      <w:r>
        <w:rPr>
          <w:rFonts w:ascii="Times New Roman" w:hAnsi="Times New Roman"/>
          <w:sz w:val="22"/>
        </w:rPr>
        <w:t>.</w:t>
      </w:r>
    </w:p>
    <w:p>
      <w:pPr>
        <w:adjustRightInd w:val="0"/>
        <w:snapToGrid w:val="0"/>
        <w:spacing w:after="100" w:line="276" w:lineRule="auto"/>
        <w:jc w:val="left"/>
        <w:rPr>
          <w:rFonts w:ascii="Times New Roman" w:hAnsi="Times New Roman"/>
          <w:sz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简体">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1415298"/>
      <w:docPartObj>
        <w:docPartGallery w:val="AutoText"/>
      </w:docPartObj>
    </w:sdtPr>
    <w:sdtEndPr>
      <w:rPr>
        <w:rFonts w:ascii="Times New Roman" w:hAnsi="Times New Roman"/>
        <w:sz w:val="20"/>
        <w:szCs w:val="20"/>
      </w:rPr>
    </w:sdtEndPr>
    <w:sdtContent>
      <w:p>
        <w:pPr>
          <w:pStyle w:val="3"/>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lang w:val="zh-CN" w:eastAsia="zh-CN"/>
          </w:rPr>
          <w:t>18</w:t>
        </w:r>
        <w:r>
          <w:rPr>
            <w:rFonts w:ascii="Times New Roman" w:hAnsi="Times New Roman"/>
            <w:sz w:val="20"/>
            <w:szCs w:val="20"/>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30"/>
    <w:rsid w:val="0004222F"/>
    <w:rsid w:val="000B0E10"/>
    <w:rsid w:val="000F1970"/>
    <w:rsid w:val="000F2A98"/>
    <w:rsid w:val="00116653"/>
    <w:rsid w:val="0015205E"/>
    <w:rsid w:val="00165DC4"/>
    <w:rsid w:val="0017355D"/>
    <w:rsid w:val="001B7CE6"/>
    <w:rsid w:val="0021315D"/>
    <w:rsid w:val="00216068"/>
    <w:rsid w:val="002348B8"/>
    <w:rsid w:val="00243FF9"/>
    <w:rsid w:val="002512B5"/>
    <w:rsid w:val="002529E1"/>
    <w:rsid w:val="00291F15"/>
    <w:rsid w:val="00297ABA"/>
    <w:rsid w:val="002B0BE8"/>
    <w:rsid w:val="002D5F40"/>
    <w:rsid w:val="00307482"/>
    <w:rsid w:val="0031489C"/>
    <w:rsid w:val="00346497"/>
    <w:rsid w:val="00395E89"/>
    <w:rsid w:val="003B01CF"/>
    <w:rsid w:val="003F352C"/>
    <w:rsid w:val="003F5743"/>
    <w:rsid w:val="004112E0"/>
    <w:rsid w:val="00420E0D"/>
    <w:rsid w:val="004256D1"/>
    <w:rsid w:val="0043692B"/>
    <w:rsid w:val="00442EE1"/>
    <w:rsid w:val="004675CA"/>
    <w:rsid w:val="00472CCB"/>
    <w:rsid w:val="004810FF"/>
    <w:rsid w:val="004B1B28"/>
    <w:rsid w:val="004B21B8"/>
    <w:rsid w:val="004D57BC"/>
    <w:rsid w:val="0050078C"/>
    <w:rsid w:val="00503887"/>
    <w:rsid w:val="00542107"/>
    <w:rsid w:val="005467FB"/>
    <w:rsid w:val="00553A4A"/>
    <w:rsid w:val="005617C1"/>
    <w:rsid w:val="005859F6"/>
    <w:rsid w:val="00595358"/>
    <w:rsid w:val="005A11E9"/>
    <w:rsid w:val="005F032E"/>
    <w:rsid w:val="00660B30"/>
    <w:rsid w:val="00691E42"/>
    <w:rsid w:val="0069559F"/>
    <w:rsid w:val="006A0973"/>
    <w:rsid w:val="006C26FE"/>
    <w:rsid w:val="006E2AAE"/>
    <w:rsid w:val="006E6DFE"/>
    <w:rsid w:val="00717701"/>
    <w:rsid w:val="00734497"/>
    <w:rsid w:val="007371BE"/>
    <w:rsid w:val="0076544B"/>
    <w:rsid w:val="00800A68"/>
    <w:rsid w:val="00836B57"/>
    <w:rsid w:val="00860A81"/>
    <w:rsid w:val="008642E1"/>
    <w:rsid w:val="0088759C"/>
    <w:rsid w:val="008A1B7D"/>
    <w:rsid w:val="008E2879"/>
    <w:rsid w:val="008E77D6"/>
    <w:rsid w:val="009027AB"/>
    <w:rsid w:val="00931C04"/>
    <w:rsid w:val="0094013D"/>
    <w:rsid w:val="009460F2"/>
    <w:rsid w:val="009524BA"/>
    <w:rsid w:val="0095404A"/>
    <w:rsid w:val="00967D2F"/>
    <w:rsid w:val="00980DFD"/>
    <w:rsid w:val="00996986"/>
    <w:rsid w:val="009C6B9A"/>
    <w:rsid w:val="009E4F69"/>
    <w:rsid w:val="009F0970"/>
    <w:rsid w:val="00A121B3"/>
    <w:rsid w:val="00A2220D"/>
    <w:rsid w:val="00A43FF1"/>
    <w:rsid w:val="00A7485E"/>
    <w:rsid w:val="00A77530"/>
    <w:rsid w:val="00A83CBD"/>
    <w:rsid w:val="00A87733"/>
    <w:rsid w:val="00AB1C7F"/>
    <w:rsid w:val="00B14D61"/>
    <w:rsid w:val="00B2354D"/>
    <w:rsid w:val="00B50C3E"/>
    <w:rsid w:val="00BD7CBE"/>
    <w:rsid w:val="00BF2D86"/>
    <w:rsid w:val="00C14743"/>
    <w:rsid w:val="00C26441"/>
    <w:rsid w:val="00C774A0"/>
    <w:rsid w:val="00C8634F"/>
    <w:rsid w:val="00CA1A9E"/>
    <w:rsid w:val="00CA40A8"/>
    <w:rsid w:val="00CC4B1F"/>
    <w:rsid w:val="00CF7F11"/>
    <w:rsid w:val="00D412CA"/>
    <w:rsid w:val="00D4782D"/>
    <w:rsid w:val="00D923B7"/>
    <w:rsid w:val="00DA2658"/>
    <w:rsid w:val="00DD2E85"/>
    <w:rsid w:val="00DF1498"/>
    <w:rsid w:val="00DF36A9"/>
    <w:rsid w:val="00DF3AAF"/>
    <w:rsid w:val="00E044C4"/>
    <w:rsid w:val="00E32652"/>
    <w:rsid w:val="00E61B1F"/>
    <w:rsid w:val="00E948A8"/>
    <w:rsid w:val="00F0040D"/>
    <w:rsid w:val="00F10D6C"/>
    <w:rsid w:val="00F263B0"/>
    <w:rsid w:val="00F26D51"/>
    <w:rsid w:val="00F3220E"/>
    <w:rsid w:val="00F346F2"/>
    <w:rsid w:val="00F50175"/>
    <w:rsid w:val="00F93348"/>
    <w:rsid w:val="00F9424D"/>
    <w:rsid w:val="00F957A6"/>
    <w:rsid w:val="00FA5967"/>
    <w:rsid w:val="00FB18D7"/>
    <w:rsid w:val="00FC5920"/>
    <w:rsid w:val="00FD5416"/>
    <w:rsid w:val="00FF177D"/>
    <w:rsid w:val="F7F19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lang w:val="zh-CN" w:eastAsia="zh-CN"/>
    </w:rPr>
  </w:style>
  <w:style w:type="paragraph" w:styleId="3">
    <w:name w:val="footer"/>
    <w:basedOn w:val="1"/>
    <w:link w:val="8"/>
    <w:unhideWhenUsed/>
    <w:qFormat/>
    <w:uiPriority w:val="99"/>
    <w:pPr>
      <w:tabs>
        <w:tab w:val="center" w:pos="4153"/>
        <w:tab w:val="right" w:pos="8306"/>
      </w:tabs>
      <w:snapToGrid w:val="0"/>
      <w:jc w:val="left"/>
    </w:pPr>
    <w:rPr>
      <w:sz w:val="18"/>
      <w:szCs w:val="18"/>
      <w:lang w:val="zh-CN" w:eastAsia="zh-CN"/>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character" w:customStyle="1" w:styleId="7">
    <w:name w:val="页眉 Char"/>
    <w:link w:val="4"/>
    <w:qFormat/>
    <w:uiPriority w:val="99"/>
    <w:rPr>
      <w:kern w:val="2"/>
      <w:sz w:val="18"/>
      <w:szCs w:val="18"/>
    </w:rPr>
  </w:style>
  <w:style w:type="character" w:customStyle="1" w:styleId="8">
    <w:name w:val="页脚 Char"/>
    <w:link w:val="3"/>
    <w:qFormat/>
    <w:uiPriority w:val="99"/>
    <w:rPr>
      <w:kern w:val="2"/>
      <w:sz w:val="18"/>
      <w:szCs w:val="18"/>
    </w:rPr>
  </w:style>
  <w:style w:type="character" w:customStyle="1" w:styleId="9">
    <w:name w:val="批注框文本 Char"/>
    <w:link w:val="2"/>
    <w:semiHidden/>
    <w:qFormat/>
    <w:uiPriority w:val="99"/>
    <w:rPr>
      <w:kern w:val="2"/>
      <w:sz w:val="18"/>
      <w:szCs w:val="18"/>
    </w:rPr>
  </w:style>
  <w:style w:type="paragraph" w:customStyle="1" w:styleId="10">
    <w:name w:val="Revision"/>
    <w:hidden/>
    <w:semiHidden/>
    <w:qFormat/>
    <w:uiPriority w:val="99"/>
    <w:rPr>
      <w:rFonts w:ascii="Calibri" w:hAnsi="Calibri" w:eastAsia="宋体" w:cs="Times New Roman"/>
      <w:kern w:val="2"/>
      <w:sz w:val="21"/>
      <w:szCs w:val="22"/>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6"/>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SHFE</Company>
  <Pages>18</Pages>
  <Words>6428</Words>
  <Characters>36644</Characters>
  <Lines>305</Lines>
  <Paragraphs>85</Paragraphs>
  <TotalTime>27</TotalTime>
  <ScaleCrop>false</ScaleCrop>
  <LinksUpToDate>false</LinksUpToDate>
  <CharactersWithSpaces>42987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2024-08-02T15:36:00Z</dcterms:created>
  <dc:creator>刘震</dc:creator>
  <cp:lastModifiedBy>guan.zhaohui</cp:lastModifiedBy>
  <dcterms:modified xsi:type="dcterms:W3CDTF">2024-10-22T18:19:32Z</dcterms:modified>
  <dc:title>Information Management Rules of the Shanghai Futures Exchange</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5D9CAFCDFBBD45D0347C176773CD9042</vt:lpwstr>
  </property>
</Properties>
</file>