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eastAsia="华文中宋"/>
          <w:b/>
          <w:sz w:val="28"/>
          <w:szCs w:val="28"/>
        </w:rPr>
      </w:pPr>
      <w:bookmarkStart w:id="0" w:name="_GoBack"/>
      <w:bookmarkEnd w:id="0"/>
      <w:r>
        <w:rPr>
          <w:rFonts w:eastAsia="华文中宋"/>
          <w:b/>
          <w:sz w:val="28"/>
          <w:szCs w:val="28"/>
        </w:rPr>
        <w:t>C</w:t>
      </w:r>
      <w:r>
        <w:rPr>
          <w:rFonts w:hint="eastAsia" w:eastAsia="华文中宋"/>
          <w:b/>
          <w:sz w:val="28"/>
          <w:szCs w:val="28"/>
        </w:rPr>
        <w:t>OPPER</w:t>
      </w:r>
      <w:r>
        <w:rPr>
          <w:rFonts w:eastAsia="华文中宋"/>
          <w:b/>
          <w:sz w:val="28"/>
          <w:szCs w:val="28"/>
        </w:rPr>
        <w:t xml:space="preserve"> C</w:t>
      </w:r>
      <w:r>
        <w:rPr>
          <w:rFonts w:hint="eastAsia" w:eastAsia="华文中宋"/>
          <w:b/>
          <w:sz w:val="28"/>
          <w:szCs w:val="28"/>
        </w:rPr>
        <w:t>ATHODE</w:t>
      </w:r>
      <w:r>
        <w:rPr>
          <w:rFonts w:eastAsia="华文中宋"/>
          <w:b/>
          <w:sz w:val="28"/>
          <w:szCs w:val="28"/>
        </w:rPr>
        <w:t xml:space="preserve"> FUTURES RULES OF THE SHANGHAI FUTURES EXCHANGE</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CHAPTER 1</w:t>
      </w:r>
      <w:r>
        <w:rPr>
          <w:b/>
          <w:sz w:val="22"/>
          <w:szCs w:val="22"/>
        </w:rPr>
        <w:tab/>
      </w:r>
      <w:r>
        <w:rPr>
          <w:b/>
          <w:sz w:val="22"/>
          <w:szCs w:val="22"/>
        </w:rPr>
        <w:t>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sz w:val="22"/>
          <w:szCs w:val="22"/>
        </w:rPr>
        <w:tab/>
      </w:r>
      <w:r>
        <w:rPr>
          <w:sz w:val="22"/>
          <w:szCs w:val="22"/>
        </w:rPr>
        <w:t xml:space="preserve">These </w:t>
      </w:r>
      <w:r>
        <w:rPr>
          <w:i/>
          <w:sz w:val="22"/>
          <w:szCs w:val="22"/>
        </w:rPr>
        <w:t>Copper Cathode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Copper Cathode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c</w:t>
      </w:r>
      <w:r>
        <w:rPr>
          <w:sz w:val="22"/>
          <w:szCs w:val="22"/>
        </w:rPr>
        <w:t xml:space="preserve">opper </w:t>
      </w:r>
      <w:r>
        <w:rPr>
          <w:rFonts w:hint="eastAsia"/>
          <w:sz w:val="22"/>
          <w:szCs w:val="22"/>
        </w:rPr>
        <w:t>c</w:t>
      </w:r>
      <w:r>
        <w:rPr>
          <w:sz w:val="22"/>
          <w:szCs w:val="22"/>
        </w:rPr>
        <w:t xml:space="preserve">athode </w:t>
      </w:r>
      <w:r>
        <w:rPr>
          <w:rFonts w:hint="eastAsia"/>
          <w:sz w:val="22"/>
          <w:szCs w:val="22"/>
        </w:rPr>
        <w:t>f</w:t>
      </w:r>
      <w:r>
        <w:rPr>
          <w:sz w:val="22"/>
          <w:szCs w:val="22"/>
        </w:rPr>
        <w:t>utures</w:t>
      </w:r>
      <w:r>
        <w:rPr>
          <w:rFonts w:hint="eastAsia"/>
          <w:sz w:val="22"/>
          <w:szCs w:val="22"/>
        </w:rPr>
        <w:t xml:space="preserve"> (the </w:t>
      </w:r>
      <w:r>
        <w:rPr>
          <w:sz w:val="22"/>
          <w:szCs w:val="22"/>
        </w:rPr>
        <w:t>“</w:t>
      </w:r>
      <w:r>
        <w:rPr>
          <w:rFonts w:hint="eastAsia"/>
          <w:sz w:val="22"/>
          <w:szCs w:val="22"/>
        </w:rPr>
        <w:t>copper futures</w:t>
      </w:r>
      <w:r>
        <w:rPr>
          <w:sz w:val="22"/>
          <w:szCs w:val="22"/>
        </w:rPr>
        <w:t>”</w:t>
      </w:r>
      <w:r>
        <w:rPr>
          <w:rFonts w:hint="eastAsia"/>
          <w:sz w:val="22"/>
          <w:szCs w:val="22"/>
        </w:rPr>
        <w:t xml:space="preserve">) </w:t>
      </w:r>
      <w:r>
        <w:rPr>
          <w:sz w:val="22"/>
          <w:szCs w:val="22"/>
        </w:rPr>
        <w:t>at the Shanghai Futures Exchange (the “Exchange”)</w:t>
      </w:r>
      <w:r>
        <w:rPr>
          <w:rFonts w:hint="eastAsia"/>
          <w:sz w:val="22"/>
          <w:szCs w:val="22"/>
        </w:rPr>
        <w:t>.</w:t>
      </w:r>
    </w:p>
    <w:p>
      <w:pPr>
        <w:tabs>
          <w:tab w:val="left" w:pos="1204"/>
        </w:tabs>
        <w:adjustRightInd w:val="0"/>
        <w:snapToGrid w:val="0"/>
        <w:spacing w:after="312" w:afterLines="100" w:line="276" w:lineRule="auto"/>
        <w:jc w:val="left"/>
        <w:rPr>
          <w:color w:val="000000"/>
          <w:kern w:val="0"/>
          <w:sz w:val="22"/>
          <w:szCs w:val="22"/>
        </w:rPr>
      </w:pPr>
      <w:r>
        <w:rPr>
          <w:b/>
          <w:bCs/>
          <w:color w:val="000000"/>
          <w:sz w:val="22"/>
          <w:szCs w:val="22"/>
        </w:rPr>
        <w:t>Article 2</w:t>
      </w:r>
      <w:r>
        <w:rPr>
          <w:color w:val="000000"/>
          <w:sz w:val="22"/>
          <w:szCs w:val="22"/>
        </w:rPr>
        <w:tab/>
      </w:r>
      <w:r>
        <w:rPr>
          <w:color w:val="000000"/>
          <w:sz w:val="22"/>
          <w:szCs w:val="22"/>
        </w:rPr>
        <w:t xml:space="preserve">These </w:t>
      </w:r>
      <w:r>
        <w:rPr>
          <w:i/>
          <w:sz w:val="22"/>
          <w:szCs w:val="22"/>
        </w:rPr>
        <w:t>Copper Cathode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2</w:t>
      </w:r>
      <w:r>
        <w:rPr>
          <w:b/>
          <w:sz w:val="22"/>
          <w:szCs w:val="22"/>
        </w:rPr>
        <w:tab/>
      </w:r>
      <w:r>
        <w:rPr>
          <w:rFonts w:hint="eastAsia"/>
          <w:b/>
          <w:sz w:val="22"/>
          <w:szCs w:val="22"/>
        </w:rPr>
        <w:t>TRADING</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copper </w:t>
      </w:r>
      <w:r>
        <w:rPr>
          <w:rFonts w:hint="eastAsia"/>
          <w:sz w:val="22"/>
          <w:szCs w:val="22"/>
        </w:rPr>
        <w:t>futures</w:t>
      </w:r>
      <w:r>
        <w:rPr>
          <w:sz w:val="22"/>
          <w:szCs w:val="22"/>
        </w:rPr>
        <w:t xml:space="preserve"> is </w:t>
      </w:r>
      <w:r>
        <w:rPr>
          <w:rFonts w:hint="eastAsia"/>
          <w:sz w:val="22"/>
          <w:szCs w:val="22"/>
        </w:rPr>
        <w:t>five (</w:t>
      </w:r>
      <w:r>
        <w:rPr>
          <w:sz w:val="22"/>
          <w:szCs w:val="22"/>
        </w:rPr>
        <w:t>5</w:t>
      </w:r>
      <w:r>
        <w:rPr>
          <w:rFonts w:hint="eastAsia"/>
          <w:sz w:val="22"/>
          <w:szCs w:val="22"/>
        </w:rPr>
        <w:t>)</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copper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5</w:t>
      </w:r>
      <w:r>
        <w:rPr>
          <w:sz w:val="22"/>
          <w:szCs w:val="22"/>
        </w:rPr>
        <w:tab/>
      </w:r>
      <w:r>
        <w:rPr>
          <w:sz w:val="22"/>
          <w:szCs w:val="22"/>
        </w:rPr>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copper </w:t>
      </w:r>
      <w:r>
        <w:rPr>
          <w:rFonts w:hint="eastAsia"/>
          <w:sz w:val="22"/>
          <w:szCs w:val="22"/>
        </w:rPr>
        <w:t>futures</w:t>
      </w:r>
      <w:r>
        <w:rPr>
          <w:sz w:val="22"/>
          <w:szCs w:val="22"/>
        </w:rPr>
        <w:t xml:space="preserve"> contract is</w:t>
      </w:r>
      <w:r>
        <w:rPr>
          <w:rFonts w:hint="eastAsia"/>
          <w:sz w:val="22"/>
          <w:szCs w:val="22"/>
        </w:rPr>
        <w:t xml:space="preserve"> ten (</w:t>
      </w:r>
      <w:r>
        <w:rPr>
          <w:sz w:val="22"/>
          <w:szCs w:val="22"/>
        </w:rPr>
        <w:t>10</w:t>
      </w:r>
      <w:r>
        <w:rPr>
          <w:rFonts w:hint="eastAsia"/>
          <w:sz w:val="22"/>
          <w:szCs w:val="22"/>
        </w:rPr>
        <w:t>)</w:t>
      </w:r>
      <w:r>
        <w:rPr>
          <w:sz w:val="22"/>
          <w:szCs w:val="22"/>
        </w:rPr>
        <w:t xml:space="preserve"> Yuan/metric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6</w:t>
      </w:r>
      <w:r>
        <w:rPr>
          <w:sz w:val="22"/>
          <w:szCs w:val="22"/>
        </w:rPr>
        <w:tab/>
      </w:r>
      <w:r>
        <w:rPr>
          <w:sz w:val="22"/>
          <w:szCs w:val="22"/>
        </w:rPr>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copper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 </w:t>
      </w:r>
      <w:r>
        <w:rPr>
          <w:sz w:val="22"/>
          <w:szCs w:val="22"/>
        </w:rPr>
        <w:t xml:space="preserve">copper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8</w:t>
      </w:r>
      <w:r>
        <w:rPr>
          <w:sz w:val="22"/>
          <w:szCs w:val="22"/>
        </w:rPr>
        <w:tab/>
      </w:r>
      <w:r>
        <w:rPr>
          <w:rFonts w:hint="eastAsia"/>
          <w:sz w:val="22"/>
          <w:szCs w:val="22"/>
        </w:rPr>
        <w:t>The last trading day of</w:t>
      </w:r>
      <w:r>
        <w:rPr>
          <w:sz w:val="22"/>
          <w:szCs w:val="22"/>
        </w:rPr>
        <w:t xml:space="preserve"> </w:t>
      </w:r>
      <w:r>
        <w:rPr>
          <w:rFonts w:hint="eastAsia"/>
          <w:sz w:val="22"/>
          <w:szCs w:val="22"/>
        </w:rPr>
        <w:t xml:space="preserve">a </w:t>
      </w:r>
      <w:r>
        <w:rPr>
          <w:sz w:val="22"/>
          <w:szCs w:val="22"/>
        </w:rPr>
        <w:t xml:space="preserve">copper </w:t>
      </w:r>
      <w:r>
        <w:rPr>
          <w:rFonts w:hint="eastAsia"/>
          <w:sz w:val="22"/>
          <w:szCs w:val="22"/>
        </w:rPr>
        <w:t>futures</w:t>
      </w:r>
      <w:r>
        <w:rPr>
          <w:sz w:val="22"/>
          <w:szCs w:val="22"/>
        </w:rPr>
        <w:t xml:space="preserve"> contract</w:t>
      </w:r>
      <w:r>
        <w:rPr>
          <w:rFonts w:hint="eastAsia"/>
          <w:sz w:val="22"/>
          <w:szCs w:val="22"/>
        </w:rPr>
        <w:t xml:space="preserve"> is the 15th day of the contract month.</w:t>
      </w:r>
      <w:r>
        <w:t xml:space="preserve"> </w:t>
      </w:r>
      <w:r>
        <w:rPr>
          <w:sz w:val="22"/>
          <w:szCs w:val="22"/>
        </w:rPr>
        <w:t>The last trading day will be postponed accordingly if it is a legal holiday in China, and will be subject to separate adjustment and announcement by the Exchange if it falls in the Spring Festival month or any other month specially designated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9</w:t>
      </w:r>
      <w:r>
        <w:rPr>
          <w:sz w:val="22"/>
          <w:szCs w:val="22"/>
        </w:rPr>
        <w:tab/>
      </w:r>
      <w:r>
        <w:rPr>
          <w:sz w:val="22"/>
          <w:szCs w:val="22"/>
        </w:rPr>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copper </w:t>
      </w:r>
      <w:r>
        <w:rPr>
          <w:rFonts w:hint="eastAsia"/>
          <w:sz w:val="22"/>
          <w:szCs w:val="22"/>
        </w:rPr>
        <w:t>futures is CU.</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a </w:t>
      </w:r>
      <w:r>
        <w:rPr>
          <w:sz w:val="22"/>
          <w:szCs w:val="22"/>
        </w:rPr>
        <w:t>copper</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11</w:t>
      </w:r>
      <w:r>
        <w:rPr>
          <w:sz w:val="22"/>
          <w:szCs w:val="22"/>
        </w:rPr>
        <w:tab/>
      </w:r>
      <w:r>
        <w:rPr>
          <w:sz w:val="22"/>
          <w:szCs w:val="22"/>
        </w:rPr>
        <w:t>An application for a regular month hedging quota of a copper futures contract shall be submitted by the last trading day of the second month before the delivery month of the contract. Late applications will not be accepted by the Exchange.</w:t>
      </w:r>
    </w:p>
    <w:p>
      <w:pPr>
        <w:tabs>
          <w:tab w:val="left" w:pos="1204"/>
        </w:tabs>
        <w:adjustRightInd w:val="0"/>
        <w:snapToGrid w:val="0"/>
        <w:spacing w:after="312" w:afterLines="100" w:line="276" w:lineRule="auto"/>
        <w:jc w:val="left"/>
        <w:rPr>
          <w:sz w:val="22"/>
          <w:szCs w:val="22"/>
        </w:rPr>
      </w:pPr>
      <w:r>
        <w:rPr>
          <w:sz w:val="22"/>
          <w:szCs w:val="22"/>
        </w:rPr>
        <w:t>An application for a nearby delivery month hedging quota of a copper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copper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12</w:t>
      </w:r>
      <w:r>
        <w:rPr>
          <w:sz w:val="22"/>
          <w:szCs w:val="22"/>
        </w:rPr>
        <w:tab/>
      </w:r>
      <w:r>
        <w:rPr>
          <w:sz w:val="22"/>
          <w:szCs w:val="22"/>
        </w:rPr>
        <w:t xml:space="preserve">Hedging quota of a </w:t>
      </w:r>
      <w:r>
        <w:rPr>
          <w:rFonts w:hint="eastAsia"/>
          <w:sz w:val="22"/>
          <w:szCs w:val="22"/>
        </w:rPr>
        <w:t>copper</w:t>
      </w:r>
      <w:r>
        <w:rPr>
          <w:sz w:val="22"/>
          <w:szCs w:val="22"/>
        </w:rPr>
        <w:t xml:space="preserve"> futures contract shall no longer be used in a revolving manner starting from the first trading day of the delivery month.</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copper futures contract </w:t>
      </w:r>
      <w:r>
        <w:rPr>
          <w:sz w:val="22"/>
          <w:szCs w:val="22"/>
        </w:rPr>
        <w:t>may be physically delivered through an Exchange of Futures for Physicals (“EFP”)</w:t>
      </w:r>
      <w:r>
        <w:rPr>
          <w:rFonts w:hint="eastAsia"/>
          <w:sz w:val="22"/>
          <w:szCs w:val="22"/>
        </w:rPr>
        <w:t xml:space="preserve"> or a delivery warehouse.</w:t>
      </w:r>
    </w:p>
    <w:p>
      <w:pPr>
        <w:tabs>
          <w:tab w:val="left" w:pos="1204"/>
        </w:tabs>
        <w:adjustRightInd w:val="0"/>
        <w:snapToGrid w:val="0"/>
        <w:spacing w:after="312" w:afterLines="100" w:line="276" w:lineRule="auto"/>
        <w:jc w:val="left"/>
        <w:rPr>
          <w:sz w:val="22"/>
          <w:szCs w:val="22"/>
        </w:rPr>
      </w:pPr>
      <w:r>
        <w:rPr>
          <w:rFonts w:hint="eastAsia"/>
          <w:sz w:val="22"/>
          <w:szCs w:val="22"/>
        </w:rPr>
        <w:t>Copper</w:t>
      </w:r>
      <w:r>
        <w:rPr>
          <w:sz w:val="22"/>
          <w:szCs w:val="22"/>
        </w:rPr>
        <w:t xml:space="preserve"> futures</w:t>
      </w:r>
      <w:r>
        <w:rPr>
          <w:rFonts w:hint="eastAsia"/>
          <w:sz w:val="22"/>
          <w:szCs w:val="22"/>
        </w:rPr>
        <w:t xml:space="preserve"> adopt</w:t>
      </w:r>
      <w:r>
        <w:rPr>
          <w:sz w:val="22"/>
          <w:szCs w:val="22"/>
        </w:rPr>
        <w:t xml:space="preserve"> bonded delivery and duty-paid delivery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Copper Cathode Futures Contract</w:t>
      </w:r>
      <w:r>
        <w:rPr>
          <w:rFonts w:hint="eastAsia"/>
          <w:i/>
          <w:iCs/>
          <w:sz w:val="22"/>
          <w:szCs w:val="22"/>
        </w:rPr>
        <w:t xml:space="preserve"> Specifications</w:t>
      </w:r>
      <w:r>
        <w:rPr>
          <w:sz w:val="22"/>
          <w:szCs w:val="22"/>
        </w:rPr>
        <w:t xml:space="preserve">. </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The deliverable commodity shall be of a registered trademark from a manufacturer registered with the Exchange.</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6</w:t>
      </w:r>
      <w:r>
        <w:rPr>
          <w:b/>
          <w:bCs/>
          <w:sz w:val="22"/>
          <w:szCs w:val="22"/>
        </w:rPr>
        <w:tab/>
      </w:r>
      <w:r>
        <w:rPr>
          <w:sz w:val="22"/>
          <w:szCs w:val="22"/>
        </w:rPr>
        <w:t xml:space="preserve">Packaging for deliverable commodity </w:t>
      </w:r>
    </w:p>
    <w:p>
      <w:pPr>
        <w:tabs>
          <w:tab w:val="left" w:pos="709"/>
          <w:tab w:val="left" w:pos="1204"/>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 xml:space="preserve">Packaging: copper cathodes </w:t>
      </w:r>
      <w:r>
        <w:rPr>
          <w:rFonts w:hint="eastAsia"/>
          <w:sz w:val="22"/>
          <w:szCs w:val="22"/>
        </w:rPr>
        <w:t>of each delivery unit</w:t>
      </w:r>
      <w:r>
        <w:rPr>
          <w:sz w:val="22"/>
          <w:szCs w:val="22"/>
        </w:rPr>
        <w:t xml:space="preserve"> shall consist of commodity of the same manufacturer, registered trademark, quality grade, shape, </w:t>
      </w:r>
      <w:r>
        <w:rPr>
          <w:rFonts w:hint="eastAsia"/>
          <w:sz w:val="22"/>
          <w:szCs w:val="22"/>
        </w:rPr>
        <w:t xml:space="preserve">and </w:t>
      </w:r>
      <w:r>
        <w:rPr>
          <w:sz w:val="22"/>
          <w:szCs w:val="22"/>
        </w:rPr>
        <w:t>secured into bundles of similar weight. The registered manufacturer may decide the weight of each bundle at its sole discretion, provided that the bundles can readily yield the delivery unit.</w:t>
      </w:r>
      <w:r>
        <w:rPr>
          <w:rFonts w:hint="eastAsia"/>
          <w:sz w:val="22"/>
          <w:szCs w:val="22"/>
        </w:rPr>
        <w:t xml:space="preserve"> </w:t>
      </w:r>
      <w:r>
        <w:rPr>
          <w:sz w:val="22"/>
          <w:szCs w:val="22"/>
        </w:rPr>
        <w:t>Copper cathodes shall be tightened into bundles with rust-resistant steel straps in a dual-line grid (#) pattern or with other methods of comparable strength using steel straps. The strapping shall be reliable and each bundle shall be marked by a prominent and secure product label and weight, which shall not exceed four (4) metric tons.</w:t>
      </w:r>
    </w:p>
    <w:p>
      <w:pPr>
        <w:tabs>
          <w:tab w:val="left" w:pos="709"/>
          <w:tab w:val="left" w:pos="1204"/>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If the commodities arrive at the warehouse with broken steel straps, severely rusted or corroded bundling materials, or loose plates, the commodities shall be repackaged and securely tightened with specified steel straps before they are delivered. Any costs incurred in the reassembly shall be borne by the owner.</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7</w:t>
      </w:r>
      <w:r>
        <w:rPr>
          <w:b/>
          <w:bCs/>
          <w:sz w:val="22"/>
          <w:szCs w:val="22"/>
        </w:rPr>
        <w:tab/>
      </w:r>
      <w:r>
        <w:rPr>
          <w:sz w:val="22"/>
          <w:szCs w:val="22"/>
        </w:rPr>
        <w:t>Required documentation for deliverable commodity</w:t>
      </w:r>
    </w:p>
    <w:p>
      <w:pPr>
        <w:tabs>
          <w:tab w:val="left" w:pos="709"/>
          <w:tab w:val="left" w:pos="1204"/>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Domestic commodity: the certificate of quality issued by the registered manufacturer.</w:t>
      </w:r>
    </w:p>
    <w:p>
      <w:pPr>
        <w:tabs>
          <w:tab w:val="left" w:pos="709"/>
          <w:tab w:val="left" w:pos="1204"/>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pPr>
        <w:tabs>
          <w:tab w:val="left" w:pos="1204"/>
        </w:tabs>
        <w:adjustRightInd w:val="0"/>
        <w:snapToGrid w:val="0"/>
        <w:spacing w:after="312" w:afterLines="100" w:line="276" w:lineRule="auto"/>
        <w:jc w:val="left"/>
        <w:rPr>
          <w:sz w:val="22"/>
          <w:szCs w:val="22"/>
        </w:rPr>
      </w:pPr>
      <w:r>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w:t>
      </w:r>
      <w:r>
        <w:rPr>
          <w:rFonts w:hint="eastAsia"/>
          <w:sz w:val="22"/>
          <w:szCs w:val="22"/>
        </w:rPr>
        <w:t xml:space="preserve"> of</w:t>
      </w:r>
      <w:r>
        <w:rPr>
          <w:sz w:val="22"/>
          <w:szCs w:val="22"/>
        </w:rPr>
        <w:t xml:space="preserve"> relevant imported products.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Tolerance and pound difference: The underlying copper cathode for each standard warrant weighs twenty-five (25) metric tons. Difference between standard warrant weight and actual delivery weight shall not exceed plus or minus two percent (±2%). Pound difference shall not exceed plus or minus one-tenth of one percent (±0.1%).</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copper futures contract is</w:t>
      </w:r>
      <w:r>
        <w:rPr>
          <w:sz w:val="22"/>
          <w:szCs w:val="22"/>
        </w:rPr>
        <w:t xml:space="preserve"> twenty-five (25) metric tons.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copper futures contract is</w:t>
      </w:r>
      <w:r>
        <w:rPr>
          <w:sz w:val="22"/>
          <w:szCs w:val="22"/>
        </w:rPr>
        <w:t xml:space="preserve"> the two (2) consecutive business days immediately following the last trading day of the contract.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 xml:space="preserve">copper </w:t>
      </w:r>
      <w:r>
        <w:rPr>
          <w:sz w:val="22"/>
          <w:szCs w:val="22"/>
        </w:rPr>
        <w:t>futures contract is its settlement price on the last trading day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settlement of bonded standard warrants</w:t>
      </w:r>
    </w:p>
    <w:p>
      <w:pPr>
        <w:tabs>
          <w:tab w:val="left" w:pos="709"/>
          <w:tab w:val="left" w:pos="1204"/>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A buyer will receive bonded standard warrants in a physical delivery against an expired futures contract, upon settling corresponding commodity payment based on the bonded final settlement price of the contract. This price equals the contract’s tax-inclusive final settlement price, as generated on the contract’s last trading day pursuant to existing rules, minus relevant taxes and fees. The delivery payment for bonded standard warrants shall be calculated on the basis of the delivery quantity and the bonded final settlement price.</w:t>
      </w:r>
    </w:p>
    <w:p>
      <w:pPr>
        <w:tabs>
          <w:tab w:val="left" w:pos="1204"/>
        </w:tabs>
        <w:adjustRightInd w:val="0"/>
        <w:snapToGrid w:val="0"/>
        <w:spacing w:after="312" w:afterLines="100" w:line="276" w:lineRule="auto"/>
        <w:jc w:val="left"/>
        <w:rPr>
          <w:sz w:val="22"/>
          <w:szCs w:val="22"/>
        </w:rPr>
      </w:pPr>
      <w:r>
        <w:rPr>
          <w:sz w:val="22"/>
          <w:szCs w:val="22"/>
        </w:rPr>
        <w:t>Bonded final settlement price = [(tax-inclusive final settlement price - relevant fees)/ (1 + import VAT rate) - consumption tax]/ (1 + import duty rate)</w:t>
      </w:r>
    </w:p>
    <w:p>
      <w:pPr>
        <w:tabs>
          <w:tab w:val="left" w:pos="1204"/>
        </w:tabs>
        <w:adjustRightInd w:val="0"/>
        <w:snapToGrid w:val="0"/>
        <w:spacing w:after="312" w:afterLines="100" w:line="276" w:lineRule="auto"/>
        <w:jc w:val="left"/>
        <w:rPr>
          <w:sz w:val="22"/>
          <w:szCs w:val="22"/>
        </w:rPr>
      </w:pPr>
      <w:r>
        <w:rPr>
          <w:sz w:val="22"/>
          <w:szCs w:val="22"/>
        </w:rPr>
        <w:t>Bonded premiums or discounts = [premiums or discounts/ (1 + import VAT rate)]/ (1 + import duty rate)</w:t>
      </w:r>
    </w:p>
    <w:p>
      <w:pPr>
        <w:tabs>
          <w:tab w:val="left" w:pos="1204"/>
        </w:tabs>
        <w:adjustRightInd w:val="0"/>
        <w:snapToGrid w:val="0"/>
        <w:spacing w:after="312" w:afterLines="100" w:line="276" w:lineRule="auto"/>
        <w:jc w:val="left"/>
        <w:rPr>
          <w:sz w:val="22"/>
          <w:szCs w:val="22"/>
        </w:rPr>
      </w:pPr>
      <w:r>
        <w:rPr>
          <w:sz w:val="22"/>
          <w:szCs w:val="22"/>
        </w:rPr>
        <w:t>Bonded delivery payment = (bonded final settlement price + bonded premiums or discounts) × bonded delivery quantity</w:t>
      </w:r>
    </w:p>
    <w:p>
      <w:pPr>
        <w:tabs>
          <w:tab w:val="left" w:pos="709"/>
          <w:tab w:val="left" w:pos="1204"/>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Calculation of the bonded final settlement price for an EFP</w:t>
      </w:r>
    </w:p>
    <w:p>
      <w:pPr>
        <w:tabs>
          <w:tab w:val="left" w:pos="1204"/>
        </w:tabs>
        <w:adjustRightInd w:val="0"/>
        <w:snapToGrid w:val="0"/>
        <w:spacing w:after="312" w:afterLines="100" w:line="276" w:lineRule="auto"/>
        <w:jc w:val="left"/>
        <w:rPr>
          <w:sz w:val="22"/>
          <w:szCs w:val="22"/>
        </w:rPr>
      </w:pPr>
      <w:r>
        <w:rPr>
          <w:sz w:val="22"/>
          <w:szCs w:val="22"/>
        </w:rPr>
        <w:t>EFP bonded final settlement price = [(settlement price of the delivery month contract on the trading day preceding the EFP application day - relevant fees)/ (1 + import VAT rate) - consumption tax]/ (1 + import duty rate)</w:t>
      </w:r>
    </w:p>
    <w:p>
      <w:pPr>
        <w:tabs>
          <w:tab w:val="left" w:pos="1204"/>
        </w:tabs>
        <w:adjustRightInd w:val="0"/>
        <w:snapToGrid w:val="0"/>
        <w:spacing w:after="312" w:afterLines="100" w:line="276" w:lineRule="auto"/>
        <w:jc w:val="left"/>
        <w:rPr>
          <w:sz w:val="22"/>
          <w:szCs w:val="22"/>
        </w:rPr>
      </w:pPr>
      <w:r>
        <w:rPr>
          <w:sz w:val="22"/>
          <w:szCs w:val="22"/>
        </w:rPr>
        <w:t>Bonded premiums or discounts = [premiums or discounts/ (1 + import VAT rate)]/(1 + import duty rate)</w:t>
      </w:r>
    </w:p>
    <w:p>
      <w:pPr>
        <w:tabs>
          <w:tab w:val="left" w:pos="1204"/>
        </w:tabs>
        <w:adjustRightInd w:val="0"/>
        <w:snapToGrid w:val="0"/>
        <w:spacing w:after="312" w:afterLines="100" w:line="276" w:lineRule="auto"/>
        <w:jc w:val="left"/>
        <w:rPr>
          <w:sz w:val="22"/>
          <w:szCs w:val="22"/>
        </w:rPr>
      </w:pPr>
      <w:r>
        <w:rPr>
          <w:sz w:val="22"/>
          <w:szCs w:val="22"/>
        </w:rPr>
        <w:t>EFP bonded delivery payment = (EFP bonded final settlement price + bonded premiums or discounts) × bonded delivery quantity</w:t>
      </w:r>
    </w:p>
    <w:p>
      <w:pPr>
        <w:tabs>
          <w:tab w:val="left" w:pos="709"/>
          <w:tab w:val="left" w:pos="1204"/>
        </w:tabs>
        <w:adjustRightInd w:val="0"/>
        <w:snapToGrid w:val="0"/>
        <w:spacing w:after="312" w:afterLines="100" w:line="276" w:lineRule="auto"/>
        <w:jc w:val="left"/>
        <w:rPr>
          <w:sz w:val="22"/>
          <w:szCs w:val="22"/>
        </w:rPr>
      </w:pPr>
      <w:r>
        <w:rPr>
          <w:sz w:val="22"/>
          <w:szCs w:val="22"/>
        </w:rPr>
        <w:t>(iii)</w:t>
      </w:r>
      <w:r>
        <w:rPr>
          <w:sz w:val="22"/>
          <w:szCs w:val="22"/>
        </w:rPr>
        <w:tab/>
      </w:r>
      <w:r>
        <w:rPr>
          <w:sz w:val="22"/>
          <w:szCs w:val="22"/>
        </w:rPr>
        <w:t>The premiums or discounts in these formulas reflect the adjustment to the final settlement price while considering such factors as delivery grade, quality, and location of warehouses. Premiums, discounts, and relevant fees will be separately announced by the Exchange.</w:t>
      </w:r>
    </w:p>
    <w:p>
      <w:pPr>
        <w:tabs>
          <w:tab w:val="left" w:pos="1204"/>
        </w:tabs>
        <w:adjustRightInd w:val="0"/>
        <w:snapToGrid w:val="0"/>
        <w:spacing w:after="312" w:afterLines="100" w:line="276" w:lineRule="auto"/>
        <w:jc w:val="left"/>
        <w:rPr>
          <w:sz w:val="22"/>
          <w:szCs w:val="22"/>
        </w:rPr>
      </w:pPr>
      <w:r>
        <w:rPr>
          <w:sz w:val="22"/>
          <w:szCs w:val="22"/>
        </w:rPr>
        <w:t>If there has been any adjustment to national tax policies, the Exchange may revise the formulas for bonded final settlement price and announce the revised formulas in due course.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For </w:t>
      </w:r>
      <w:r>
        <w:rPr>
          <w:rFonts w:hint="eastAsia"/>
          <w:sz w:val="22"/>
          <w:szCs w:val="22"/>
        </w:rPr>
        <w:t xml:space="preserve">copper </w:t>
      </w:r>
      <w:r>
        <w:rPr>
          <w:sz w:val="22"/>
          <w:szCs w:val="22"/>
        </w:rPr>
        <w:t>futures</w:t>
      </w:r>
      <w:r>
        <w:rPr>
          <w:rFonts w:hint="eastAsia"/>
          <w:sz w:val="22"/>
          <w:szCs w:val="22"/>
        </w:rPr>
        <w:t xml:space="preserve"> contracts</w:t>
      </w:r>
      <w:r>
        <w:rPr>
          <w:sz w:val="22"/>
          <w:szCs w:val="22"/>
        </w:rPr>
        <w:t xml:space="preserve"> intended for bonded delivery, the Exchange shall announce the tax-inclusive delivery settlement price and the bonded final settlement price of each contract upon its expiration.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26</w:t>
      </w:r>
      <w:r>
        <w:rPr>
          <w:b/>
          <w:bCs/>
          <w:sz w:val="22"/>
          <w:szCs w:val="22"/>
        </w:rPr>
        <w:tab/>
      </w:r>
      <w:r>
        <w:rPr>
          <w:sz w:val="22"/>
          <w:szCs w:val="22"/>
        </w:rPr>
        <w:t xml:space="preserve">If standard warrants are used for the EFPs </w:t>
      </w:r>
      <w:r>
        <w:rPr>
          <w:rFonts w:hint="eastAsia"/>
          <w:sz w:val="22"/>
          <w:szCs w:val="22"/>
        </w:rPr>
        <w:t xml:space="preserve">of a copper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the buyer shall submit a request for dispute resolution within twenty-five (25) days after the payment and the exchange of standard warrants, together with the quality assay report issued by a Designated Inspection Agency.</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copper futures contract is 5%.</w:t>
      </w:r>
    </w:p>
    <w:p>
      <w:pPr>
        <w:tabs>
          <w:tab w:val="left" w:pos="1204"/>
        </w:tabs>
        <w:adjustRightInd w:val="0"/>
        <w:snapToGrid w:val="0"/>
        <w:spacing w:after="312" w:afterLines="100" w:line="276" w:lineRule="auto"/>
        <w:jc w:val="left"/>
        <w:rPr>
          <w:sz w:val="22"/>
          <w:szCs w:val="22"/>
        </w:rPr>
      </w:pPr>
      <w:r>
        <w:rPr>
          <w:b/>
          <w:bCs/>
          <w:sz w:val="22"/>
          <w:szCs w:val="22"/>
        </w:rPr>
        <w:t>Article 2</w:t>
      </w:r>
      <w:r>
        <w:rPr>
          <w:rFonts w:hint="eastAsia"/>
          <w:b/>
          <w:bCs/>
          <w:sz w:val="22"/>
          <w:szCs w:val="22"/>
        </w:rPr>
        <w:t>8</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copper futures are as follows:</w:t>
      </w:r>
    </w:p>
    <w:tbl>
      <w:tblPr>
        <w:tblStyle w:val="7"/>
        <w:tblW w:w="8467" w:type="dxa"/>
        <w:tblInd w:w="-108" w:type="dxa"/>
        <w:tblLayout w:type="autofit"/>
        <w:tblCellMar>
          <w:top w:w="61" w:type="dxa"/>
          <w:left w:w="108" w:type="dxa"/>
          <w:bottom w:w="0" w:type="dxa"/>
          <w:right w:w="24" w:type="dxa"/>
        </w:tblCellMar>
      </w:tblPr>
      <w:tblGrid>
        <w:gridCol w:w="6403"/>
        <w:gridCol w:w="2064"/>
      </w:tblGrid>
      <w:tr>
        <w:tblPrEx>
          <w:tblCellMar>
            <w:top w:w="61" w:type="dxa"/>
            <w:left w:w="108" w:type="dxa"/>
            <w:bottom w:w="0" w:type="dxa"/>
            <w:right w:w="24" w:type="dxa"/>
          </w:tblCellMar>
        </w:tblPrEx>
        <w:trPr>
          <w:trHeight w:val="20" w:hRule="atLeast"/>
        </w:trPr>
        <w:tc>
          <w:tcPr>
            <w:tcW w:w="6403" w:type="dxa"/>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b/>
                <w:sz w:val="22"/>
                <w:szCs w:val="22"/>
              </w:rPr>
            </w:pPr>
            <w:r>
              <w:rPr>
                <w:b/>
                <w:sz w:val="22"/>
                <w:szCs w:val="22"/>
              </w:rPr>
              <w:t>Stage of Trading</w:t>
            </w:r>
          </w:p>
        </w:tc>
        <w:tc>
          <w:tcPr>
            <w:tcW w:w="2064" w:type="dxa"/>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b/>
                <w:sz w:val="22"/>
                <w:szCs w:val="22"/>
              </w:rPr>
            </w:pPr>
            <w:r>
              <w:rPr>
                <w:b/>
                <w:sz w:val="22"/>
                <w:szCs w:val="22"/>
              </w:rPr>
              <w:t>Trading Margin</w:t>
            </w:r>
          </w:p>
        </w:tc>
      </w:tr>
      <w:tr>
        <w:tblPrEx>
          <w:tblCellMar>
            <w:top w:w="61" w:type="dxa"/>
            <w:left w:w="108" w:type="dxa"/>
            <w:bottom w:w="0" w:type="dxa"/>
            <w:right w:w="24" w:type="dxa"/>
          </w:tblCellMar>
        </w:tblPrEx>
        <w:trPr>
          <w:trHeight w:val="20" w:hRule="atLeast"/>
        </w:trPr>
        <w:tc>
          <w:tcPr>
            <w:tcW w:w="6403" w:type="dxa"/>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As of listing</w:t>
            </w:r>
          </w:p>
        </w:tc>
        <w:tc>
          <w:tcPr>
            <w:tcW w:w="2064" w:type="dxa"/>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5%</w:t>
            </w:r>
          </w:p>
        </w:tc>
      </w:tr>
      <w:tr>
        <w:tblPrEx>
          <w:tblCellMar>
            <w:top w:w="61" w:type="dxa"/>
            <w:left w:w="108" w:type="dxa"/>
            <w:bottom w:w="0" w:type="dxa"/>
            <w:right w:w="24" w:type="dxa"/>
          </w:tblCellMar>
        </w:tblPrEx>
        <w:trPr>
          <w:trHeight w:val="20" w:hRule="atLeast"/>
        </w:trPr>
        <w:tc>
          <w:tcPr>
            <w:tcW w:w="6403" w:type="dxa"/>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As of the first trading day of the month prior to the delivery month</w:t>
            </w:r>
          </w:p>
        </w:tc>
        <w:tc>
          <w:tcPr>
            <w:tcW w:w="2064" w:type="dxa"/>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10%</w:t>
            </w:r>
          </w:p>
        </w:tc>
      </w:tr>
      <w:tr>
        <w:tblPrEx>
          <w:tblCellMar>
            <w:top w:w="61" w:type="dxa"/>
            <w:left w:w="108" w:type="dxa"/>
            <w:bottom w:w="0" w:type="dxa"/>
            <w:right w:w="24" w:type="dxa"/>
          </w:tblCellMar>
        </w:tblPrEx>
        <w:trPr>
          <w:trHeight w:val="20" w:hRule="atLeast"/>
        </w:trPr>
        <w:tc>
          <w:tcPr>
            <w:tcW w:w="6403" w:type="dxa"/>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As of the first trading day of the delivery month</w:t>
            </w:r>
          </w:p>
        </w:tc>
        <w:tc>
          <w:tcPr>
            <w:tcW w:w="2064" w:type="dxa"/>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15%</w:t>
            </w:r>
          </w:p>
        </w:tc>
      </w:tr>
      <w:tr>
        <w:tblPrEx>
          <w:tblCellMar>
            <w:top w:w="61" w:type="dxa"/>
            <w:left w:w="108" w:type="dxa"/>
            <w:bottom w:w="0" w:type="dxa"/>
            <w:right w:w="24" w:type="dxa"/>
          </w:tblCellMar>
        </w:tblPrEx>
        <w:trPr>
          <w:trHeight w:val="20" w:hRule="atLeast"/>
        </w:trPr>
        <w:tc>
          <w:tcPr>
            <w:tcW w:w="6403" w:type="dxa"/>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As of the second trading day prior to the last trading day</w:t>
            </w:r>
          </w:p>
        </w:tc>
        <w:tc>
          <w:tcPr>
            <w:tcW w:w="2064" w:type="dxa"/>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20%</w:t>
            </w:r>
          </w:p>
        </w:tc>
      </w:tr>
    </w:tbl>
    <w:p>
      <w:pPr>
        <w:tabs>
          <w:tab w:val="left" w:pos="1204"/>
        </w:tabs>
        <w:adjustRightInd w:val="0"/>
        <w:snapToGrid w:val="0"/>
        <w:spacing w:after="312" w:afterLines="100" w:line="276" w:lineRule="auto"/>
        <w:jc w:val="left"/>
        <w:rPr>
          <w:b/>
          <w:bCs/>
          <w:sz w:val="22"/>
          <w:szCs w:val="22"/>
        </w:rPr>
      </w:pP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29</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 copper futures contract is w</w:t>
      </w:r>
      <w:r>
        <w:rPr>
          <w:sz w:val="22"/>
          <w:szCs w:val="22"/>
        </w:rPr>
        <w:t xml:space="preserve">ithin ±3% of </w:t>
      </w:r>
      <w:r>
        <w:rPr>
          <w:rFonts w:hint="eastAsia"/>
          <w:sz w:val="22"/>
          <w:szCs w:val="22"/>
        </w:rPr>
        <w:t>its</w:t>
      </w:r>
      <w:r>
        <w:rPr>
          <w:sz w:val="22"/>
          <w:szCs w:val="22"/>
        </w:rPr>
        <w:t xml:space="preserve"> settlement price of the preceding trading day</w:t>
      </w:r>
      <w:r>
        <w:rPr>
          <w:rFonts w:hint="eastAsia"/>
          <w:sz w:val="22"/>
          <w:szCs w:val="22"/>
        </w:rPr>
        <w: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30</w:t>
      </w:r>
      <w:r>
        <w:rPr>
          <w:bCs/>
          <w:sz w:val="22"/>
          <w:szCs w:val="22"/>
        </w:rPr>
        <w:tab/>
      </w:r>
      <w:r>
        <w:rPr>
          <w:bCs/>
          <w:sz w:val="22"/>
          <w:szCs w:val="22"/>
        </w:rPr>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copper</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Style w:val="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5"/>
        <w:gridCol w:w="782"/>
        <w:gridCol w:w="1596"/>
        <w:gridCol w:w="792"/>
        <w:gridCol w:w="1008"/>
        <w:gridCol w:w="632"/>
        <w:gridCol w:w="864"/>
        <w:gridCol w:w="595"/>
        <w:gridCol w:w="843"/>
        <w:gridCol w:w="5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395"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1214" w:type="pct"/>
            <w:gridSpan w:val="2"/>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delivery month</w:t>
            </w:r>
          </w:p>
        </w:tc>
        <w:tc>
          <w:tcPr>
            <w:tcW w:w="1568" w:type="pct"/>
            <w:gridSpan w:val="3"/>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last trading day of the second month prior to the delivery month</w:t>
            </w:r>
          </w:p>
        </w:tc>
        <w:tc>
          <w:tcPr>
            <w:tcW w:w="914"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First month prior to the delivery month</w:t>
            </w:r>
          </w:p>
        </w:tc>
        <w:tc>
          <w:tcPr>
            <w:tcW w:w="909"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Delivery month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395"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78"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736"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Percentage-based Position Limit (%)</w:t>
            </w:r>
          </w:p>
        </w:tc>
        <w:tc>
          <w:tcPr>
            <w:tcW w:w="535" w:type="pct"/>
            <w:vMerge w:val="restar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1033" w:type="pct"/>
            <w:gridSpan w:val="2"/>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914"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sz w:val="22"/>
                <w:szCs w:val="22"/>
              </w:rPr>
              <w:t>F</w:t>
            </w:r>
            <w:r>
              <w:rPr>
                <w:sz w:val="22"/>
                <w:szCs w:val="22"/>
              </w:rPr>
              <w:t>ixed-amount Position Limit (in lots)</w:t>
            </w:r>
          </w:p>
        </w:tc>
        <w:tc>
          <w:tcPr>
            <w:tcW w:w="909"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395"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78"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736"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FF Member</w:t>
            </w:r>
          </w:p>
        </w:tc>
        <w:tc>
          <w:tcPr>
            <w:tcW w:w="535" w:type="pct"/>
            <w:vMerge w:val="continue"/>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0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543"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371"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53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370"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395"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copper</w:t>
            </w:r>
          </w:p>
        </w:tc>
        <w:tc>
          <w:tcPr>
            <w:tcW w:w="478"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≥80,000</w:t>
            </w:r>
          </w:p>
        </w:tc>
        <w:tc>
          <w:tcPr>
            <w:tcW w:w="736"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25</w:t>
            </w:r>
          </w:p>
        </w:tc>
        <w:tc>
          <w:tcPr>
            <w:tcW w:w="535"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≥80,000</w:t>
            </w:r>
          </w:p>
        </w:tc>
        <w:tc>
          <w:tcPr>
            <w:tcW w:w="6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0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543"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3,000</w:t>
            </w:r>
          </w:p>
        </w:tc>
        <w:tc>
          <w:tcPr>
            <w:tcW w:w="371"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3,000</w:t>
            </w:r>
          </w:p>
        </w:tc>
        <w:tc>
          <w:tcPr>
            <w:tcW w:w="539"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1,000</w:t>
            </w:r>
          </w:p>
        </w:tc>
        <w:tc>
          <w:tcPr>
            <w:tcW w:w="370"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395"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78"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736"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35"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w:t>
            </w:r>
            <w:r>
              <w:rPr>
                <w:bCs/>
                <w:sz w:val="22"/>
                <w:szCs w:val="22"/>
              </w:rPr>
              <w:t>80,000</w:t>
            </w:r>
          </w:p>
        </w:tc>
        <w:tc>
          <w:tcPr>
            <w:tcW w:w="6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8,000</w:t>
            </w:r>
          </w:p>
        </w:tc>
        <w:tc>
          <w:tcPr>
            <w:tcW w:w="40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8,000</w:t>
            </w:r>
          </w:p>
        </w:tc>
        <w:tc>
          <w:tcPr>
            <w:tcW w:w="543"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371"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539"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370"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r>
    </w:tbl>
    <w:p>
      <w:pPr>
        <w:tabs>
          <w:tab w:val="left" w:pos="1204"/>
        </w:tabs>
        <w:adjustRightInd w:val="0"/>
        <w:snapToGrid w:val="0"/>
        <w:spacing w:after="312" w:afterLines="100"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 Percentage-based Position Limit for the FF Member is the baseline limit.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31</w:t>
      </w:r>
      <w:r>
        <w:rPr>
          <w:bCs/>
          <w:sz w:val="22"/>
          <w:szCs w:val="22"/>
        </w:rPr>
        <w:tab/>
      </w:r>
      <w:r>
        <w:rPr>
          <w:bCs/>
          <w:sz w:val="22"/>
          <w:szCs w:val="22"/>
        </w:rPr>
        <w:t xml:space="preserve">For contracts in copper futures, by the close of the last trading day of the month prior to the delivery month, each Member or each Client shall adjust their speculative positions held through the Member, to multiples of five (5) lots and a one-day delay is allowed under special market conditions; in the delivery month, the speculative positions as well as newly opened and closed-out positions shall be held in multiples of five (5) lots. </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32</w:t>
      </w:r>
      <w:r>
        <w:rPr>
          <w:bCs/>
          <w:sz w:val="22"/>
          <w:szCs w:val="22"/>
        </w:rPr>
        <w:tab/>
      </w:r>
      <w:r>
        <w:rPr>
          <w:bCs/>
          <w:sz w:val="22"/>
          <w:szCs w:val="22"/>
        </w:rPr>
        <w:t>If the Exchange makes a forced position reduction</w:t>
      </w:r>
      <w:r>
        <w:rPr>
          <w:rFonts w:hint="eastAsia"/>
          <w:bCs/>
          <w:sz w:val="22"/>
          <w:szCs w:val="22"/>
        </w:rPr>
        <w:t xml:space="preserve"> to a copper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pPr>
        <w:tabs>
          <w:tab w:val="left" w:pos="709"/>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copper</w:t>
      </w:r>
      <w:r>
        <w:rPr>
          <w:bCs/>
          <w:sz w:val="22"/>
          <w:szCs w:val="22"/>
        </w:rPr>
        <w:t xml:space="preserve"> futures contracts, of the settlement price of the base date.</w:t>
      </w:r>
    </w:p>
    <w:p>
      <w:pPr>
        <w:tabs>
          <w:tab w:val="left" w:pos="709"/>
          <w:tab w:val="left" w:pos="1204"/>
        </w:tabs>
        <w:adjustRightInd w:val="0"/>
        <w:snapToGrid w:val="0"/>
        <w:spacing w:after="312" w:afterLines="100"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 stipulated in the Risk Management Rules of the Shanghai Futures Exchange</w:t>
      </w:r>
      <w:r>
        <w:rPr>
          <w:rFonts w:hint="eastAsia"/>
          <w:bCs/>
          <w:sz w:val="22"/>
          <w:szCs w:val="22"/>
        </w:rPr>
        <w:t xml:space="preserve">, </w:t>
      </w:r>
      <w:r>
        <w:rPr>
          <w:bCs/>
          <w:sz w:val="22"/>
          <w:szCs w:val="22"/>
        </w:rPr>
        <w:t>records average gains for speculative purposes or for hedging purposes at no less than six percent (6%).</w:t>
      </w:r>
    </w:p>
    <w:p>
      <w:pPr>
        <w:tabs>
          <w:tab w:val="left" w:pos="709"/>
          <w:tab w:val="left" w:pos="1204"/>
        </w:tabs>
        <w:adjustRightInd w:val="0"/>
        <w:snapToGrid w:val="0"/>
        <w:spacing w:after="312" w:afterLines="100" w:line="276" w:lineRule="auto"/>
        <w:jc w:val="left"/>
        <w:rPr>
          <w:bCs/>
          <w:sz w:val="22"/>
          <w:szCs w:val="22"/>
        </w:rPr>
      </w:pPr>
      <w:r>
        <w:rPr>
          <w:rFonts w:hint="eastAsia"/>
          <w:bCs/>
          <w:sz w:val="22"/>
          <w:szCs w:val="22"/>
        </w:rPr>
        <w:t>(iii)</w:t>
      </w:r>
      <w:r>
        <w:rPr>
          <w:bCs/>
          <w:sz w:val="22"/>
          <w:szCs w:val="22"/>
        </w:rPr>
        <w:tab/>
      </w:r>
      <w:r>
        <w:rPr>
          <w:bCs/>
          <w:sz w:val="22"/>
          <w:szCs w:val="22"/>
        </w:rPr>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pPr>
        <w:tabs>
          <w:tab w:val="left" w:pos="775"/>
        </w:tabs>
        <w:adjustRightInd w:val="0"/>
        <w:snapToGrid w:val="0"/>
        <w:spacing w:after="312" w:afterLines="100" w:line="276"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copper futures</w:t>
      </w:r>
      <w:r>
        <w:rPr>
          <w:rFonts w:hint="eastAsia"/>
          <w:bCs/>
          <w:sz w:val="22"/>
          <w:szCs w:val="22"/>
        </w:rPr>
        <w:t>,</w:t>
      </w:r>
      <w:r>
        <w:rPr>
          <w:bCs/>
          <w:sz w:val="22"/>
          <w:szCs w:val="22"/>
        </w:rPr>
        <w:t xml:space="preserve"> or the Speculative Position Gains of Over 6%; </w:t>
      </w:r>
    </w:p>
    <w:p>
      <w:pPr>
        <w:tabs>
          <w:tab w:val="left" w:pos="775"/>
        </w:tabs>
        <w:adjustRightInd w:val="0"/>
        <w:snapToGrid w:val="0"/>
        <w:spacing w:after="312" w:afterLines="100" w:line="276"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copper futures, or the Speculative Position Gains of Over 3%</w:t>
      </w:r>
      <w:r>
        <w:rPr>
          <w:rFonts w:hint="eastAsia"/>
          <w:bCs/>
          <w:sz w:val="22"/>
          <w:szCs w:val="22"/>
        </w:rPr>
        <w:t>;</w:t>
      </w:r>
    </w:p>
    <w:p>
      <w:pPr>
        <w:tabs>
          <w:tab w:val="left" w:pos="775"/>
        </w:tabs>
        <w:adjustRightInd w:val="0"/>
        <w:snapToGrid w:val="0"/>
        <w:spacing w:after="312" w:afterLines="100" w:line="276"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copper futures, or the Speculative Position Gains Below 3%; and</w:t>
      </w:r>
    </w:p>
    <w:p>
      <w:pPr>
        <w:tabs>
          <w:tab w:val="left" w:pos="775"/>
        </w:tabs>
        <w:adjustRightInd w:val="0"/>
        <w:snapToGrid w:val="0"/>
        <w:spacing w:after="312" w:afterLines="100"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copper futures</w:t>
      </w:r>
      <w:r>
        <w:rPr>
          <w:rFonts w:hint="eastAsia"/>
          <w:bCs/>
          <w:sz w:val="22"/>
          <w:szCs w:val="22"/>
        </w:rPr>
        <w:t>,</w:t>
      </w:r>
      <w:r>
        <w:rPr>
          <w:bCs/>
          <w:sz w:val="22"/>
          <w:szCs w:val="22"/>
        </w:rPr>
        <w:t xml:space="preserve"> or the Hedging Position Gains of Over 6%.</w:t>
      </w:r>
    </w:p>
    <w:p>
      <w:pPr>
        <w:tabs>
          <w:tab w:val="left" w:pos="709"/>
          <w:tab w:val="left" w:pos="1204"/>
        </w:tabs>
        <w:adjustRightInd w:val="0"/>
        <w:snapToGrid w:val="0"/>
        <w:spacing w:after="312" w:afterLines="100" w:line="276" w:lineRule="auto"/>
        <w:jc w:val="left"/>
        <w:rPr>
          <w:bCs/>
          <w:sz w:val="22"/>
          <w:szCs w:val="22"/>
        </w:rPr>
      </w:pPr>
      <w:r>
        <w:rPr>
          <w:rFonts w:hint="eastAsia"/>
          <w:bCs/>
          <w:sz w:val="22"/>
          <w:szCs w:val="22"/>
        </w:rPr>
        <w:t>(iv)</w:t>
      </w:r>
      <w:r>
        <w:rPr>
          <w:bCs/>
          <w:sz w:val="22"/>
          <w:szCs w:val="22"/>
        </w:rPr>
        <w:tab/>
      </w:r>
      <w:r>
        <w:rPr>
          <w:bCs/>
          <w:sz w:val="22"/>
          <w:szCs w:val="22"/>
        </w:rPr>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widowControl/>
        <w:tabs>
          <w:tab w:val="left" w:pos="1560"/>
        </w:tabs>
        <w:adjustRightInd w:val="0"/>
        <w:snapToGrid w:val="0"/>
        <w:spacing w:before="468" w:beforeLines="150" w:after="312" w:afterLines="100" w:line="276" w:lineRule="auto"/>
        <w:jc w:val="center"/>
        <w:rPr>
          <w:b/>
          <w:bCs/>
          <w:sz w:val="22"/>
          <w:szCs w:val="22"/>
        </w:rPr>
      </w:pPr>
      <w:r>
        <w:rPr>
          <w:b/>
          <w:sz w:val="22"/>
          <w:szCs w:val="22"/>
        </w:rPr>
        <w:t xml:space="preserve">CHAPTER </w:t>
      </w:r>
      <w:r>
        <w:rPr>
          <w:rFonts w:hint="eastAsia"/>
          <w:b/>
          <w:sz w:val="22"/>
          <w:szCs w:val="22"/>
        </w:rPr>
        <w:t>5</w:t>
      </w:r>
      <w:r>
        <w:rPr>
          <w:b/>
          <w:bCs/>
          <w:sz w:val="22"/>
          <w:szCs w:val="22"/>
        </w:rPr>
        <w:tab/>
      </w:r>
      <w:r>
        <w:rPr>
          <w:b/>
          <w:bCs/>
          <w:sz w:val="22"/>
          <w:szCs w:val="22"/>
        </w:rPr>
        <w:t>MISCELLANEOUS</w:t>
      </w:r>
    </w:p>
    <w:p>
      <w:pPr>
        <w:tabs>
          <w:tab w:val="left" w:pos="775"/>
        </w:tabs>
        <w:adjustRightInd w:val="0"/>
        <w:snapToGrid w:val="0"/>
        <w:spacing w:after="312" w:afterLines="100" w:line="276" w:lineRule="auto"/>
        <w:jc w:val="left"/>
        <w:rPr>
          <w:bCs/>
          <w:iCs/>
          <w:sz w:val="22"/>
          <w:szCs w:val="22"/>
        </w:rPr>
      </w:pPr>
      <w:r>
        <w:rPr>
          <w:b/>
          <w:bCs/>
          <w:sz w:val="22"/>
          <w:szCs w:val="22"/>
        </w:rPr>
        <w:t xml:space="preserve">Article </w:t>
      </w:r>
      <w:r>
        <w:rPr>
          <w:rFonts w:hint="eastAsia"/>
          <w:b/>
          <w:bCs/>
          <w:sz w:val="22"/>
          <w:szCs w:val="22"/>
        </w:rPr>
        <w:t>3</w:t>
      </w:r>
      <w:r>
        <w:rPr>
          <w:b/>
          <w:bCs/>
          <w:sz w:val="22"/>
          <w:szCs w:val="22"/>
        </w:rPr>
        <w:t>3</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w:t>
      </w:r>
      <w:r>
        <w:rPr>
          <w:b/>
          <w:bCs/>
          <w:sz w:val="22"/>
          <w:szCs w:val="22"/>
        </w:rPr>
        <w:t>4</w:t>
      </w:r>
      <w:r>
        <w:rPr>
          <w:bCs/>
          <w:sz w:val="22"/>
          <w:szCs w:val="22"/>
        </w:rPr>
        <w:tab/>
      </w:r>
      <w:r>
        <w:rPr>
          <w:rFonts w:eastAsia="等线"/>
          <w:snapToGrid w:val="0"/>
          <w:kern w:val="22"/>
          <w:sz w:val="22"/>
        </w:rPr>
        <w:t>Any violation</w:t>
      </w:r>
      <w:r>
        <w:rPr>
          <w:rFonts w:hint="eastAsia" w:eastAsia="等线"/>
          <w:snapToGrid w:val="0"/>
          <w:kern w:val="22"/>
          <w:sz w:val="22"/>
        </w:rPr>
        <w:t>s</w:t>
      </w:r>
      <w:r>
        <w:rPr>
          <w:rFonts w:eastAsia="等线"/>
          <w:snapToGrid w:val="0"/>
          <w:kern w:val="22"/>
          <w:sz w:val="22"/>
        </w:rPr>
        <w:t xml:space="preserve"> of these </w:t>
      </w:r>
      <w:r>
        <w:rPr>
          <w:i/>
          <w:sz w:val="22"/>
          <w:szCs w:val="22"/>
        </w:rPr>
        <w:t>Copper Cathode Futures Rules</w:t>
      </w:r>
      <w:r>
        <w:rPr>
          <w:rFonts w:eastAsia="等线"/>
          <w:i/>
          <w:iCs/>
          <w:snapToGrid w:val="0"/>
          <w:kern w:val="22"/>
          <w:sz w:val="22"/>
        </w:rPr>
        <w:t xml:space="preserve"> </w:t>
      </w:r>
      <w:r>
        <w:rPr>
          <w:rFonts w:hint="eastAsia"/>
          <w:sz w:val="22"/>
        </w:rPr>
        <w:t xml:space="preserve">will be handled by the Exchange in accordance with the </w:t>
      </w:r>
      <w:r>
        <w:rPr>
          <w:rFonts w:hint="eastAsia"/>
          <w:i/>
          <w:iCs/>
          <w:sz w:val="22"/>
        </w:rPr>
        <w:t>Enforcement Rules of the Shanghai Futures Exchange</w:t>
      </w:r>
      <w:r>
        <w:rPr>
          <w:rFonts w:hint="eastAsia"/>
          <w:sz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35</w:t>
      </w:r>
      <w:r>
        <w:rPr>
          <w:bCs/>
          <w:sz w:val="22"/>
          <w:szCs w:val="22"/>
        </w:rPr>
        <w:tab/>
      </w:r>
      <w:r>
        <w:rPr>
          <w:bCs/>
          <w:sz w:val="22"/>
          <w:szCs w:val="22"/>
        </w:rPr>
        <w:t xml:space="preserve">The Exchange reserves the right to interpret these </w:t>
      </w:r>
      <w:r>
        <w:rPr>
          <w:i/>
          <w:sz w:val="22"/>
          <w:szCs w:val="22"/>
        </w:rPr>
        <w:t>Copper Cathode Futures Rules</w:t>
      </w:r>
      <w:r>
        <w:rPr>
          <w:bCs/>
          <w:sz w:val="22"/>
          <w:szCs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36</w:t>
      </w:r>
      <w:r>
        <w:rPr>
          <w:bCs/>
          <w:sz w:val="22"/>
          <w:szCs w:val="22"/>
        </w:rPr>
        <w:tab/>
      </w:r>
      <w:r>
        <w:rPr>
          <w:bCs/>
          <w:sz w:val="22"/>
          <w:szCs w:val="22"/>
        </w:rPr>
        <w:t xml:space="preserve">These </w:t>
      </w:r>
      <w:r>
        <w:rPr>
          <w:i/>
          <w:sz w:val="22"/>
          <w:szCs w:val="22"/>
        </w:rPr>
        <w:t>Copper Cathode Futures Rules</w:t>
      </w:r>
      <w:r>
        <w:rPr>
          <w:bCs/>
          <w:sz w:val="22"/>
          <w:szCs w:val="22"/>
        </w:rPr>
        <w:t xml:space="preserve"> </w:t>
      </w:r>
      <w:r>
        <w:rPr>
          <w:rFonts w:hint="eastAsia"/>
          <w:bCs/>
          <w:sz w:val="22"/>
          <w:szCs w:val="22"/>
        </w:rPr>
        <w:t xml:space="preserve">take effect on </w:t>
      </w:r>
      <w:r>
        <w:rPr>
          <w:bCs/>
          <w:sz w:val="22"/>
          <w:szCs w:val="22"/>
        </w:rPr>
        <w:t>October 23, 2024</w:t>
      </w:r>
      <w:r>
        <w:rPr>
          <w:rFonts w:hint="eastAsia"/>
          <w:bCs/>
          <w:sz w:val="22"/>
          <w:szCs w:val="22"/>
        </w:rPr>
        <w:t>.</w:t>
      </w:r>
    </w:p>
    <w:p>
      <w:pPr>
        <w:tabs>
          <w:tab w:val="left" w:pos="775"/>
        </w:tabs>
        <w:adjustRightInd w:val="0"/>
        <w:snapToGrid w:val="0"/>
        <w:spacing w:after="312" w:afterLines="100" w:line="276" w:lineRule="auto"/>
        <w:jc w:val="left"/>
        <w:rPr>
          <w:bCs/>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0721042"/>
      <w:docPartObj>
        <w:docPartGallery w:val="AutoText"/>
      </w:docPartObj>
    </w:sdtPr>
    <w:sdtEndPr>
      <w:rPr>
        <w:sz w:val="20"/>
        <w:szCs w:val="20"/>
      </w:rPr>
    </w:sdtEndPr>
    <w:sdtContent>
      <w:p>
        <w:pPr>
          <w:pStyle w:val="4"/>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14</w:t>
        </w:r>
        <w:r>
          <w:rPr>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028AE"/>
    <w:rsid w:val="000033D0"/>
    <w:rsid w:val="00041BE3"/>
    <w:rsid w:val="00043F20"/>
    <w:rsid w:val="00055F0C"/>
    <w:rsid w:val="00084BAC"/>
    <w:rsid w:val="00092BE6"/>
    <w:rsid w:val="00096E97"/>
    <w:rsid w:val="000C5C46"/>
    <w:rsid w:val="000E1A68"/>
    <w:rsid w:val="0018114F"/>
    <w:rsid w:val="00197CD6"/>
    <w:rsid w:val="001B3172"/>
    <w:rsid w:val="001E1024"/>
    <w:rsid w:val="00217CDD"/>
    <w:rsid w:val="0022666B"/>
    <w:rsid w:val="002341AB"/>
    <w:rsid w:val="0025562B"/>
    <w:rsid w:val="002601D6"/>
    <w:rsid w:val="0027521C"/>
    <w:rsid w:val="00284390"/>
    <w:rsid w:val="002B241E"/>
    <w:rsid w:val="002B647D"/>
    <w:rsid w:val="002B6F2B"/>
    <w:rsid w:val="002D56B3"/>
    <w:rsid w:val="002F6D03"/>
    <w:rsid w:val="002F76A3"/>
    <w:rsid w:val="0032403F"/>
    <w:rsid w:val="003333DE"/>
    <w:rsid w:val="003647AB"/>
    <w:rsid w:val="003C12E0"/>
    <w:rsid w:val="003C2006"/>
    <w:rsid w:val="003D6543"/>
    <w:rsid w:val="00403288"/>
    <w:rsid w:val="004161A6"/>
    <w:rsid w:val="004218E5"/>
    <w:rsid w:val="00422256"/>
    <w:rsid w:val="00430BB3"/>
    <w:rsid w:val="00431FED"/>
    <w:rsid w:val="0045567F"/>
    <w:rsid w:val="004E1AD1"/>
    <w:rsid w:val="004E54F2"/>
    <w:rsid w:val="005164BE"/>
    <w:rsid w:val="005568FA"/>
    <w:rsid w:val="005653A1"/>
    <w:rsid w:val="00566F17"/>
    <w:rsid w:val="00575304"/>
    <w:rsid w:val="005B14F7"/>
    <w:rsid w:val="005B4DD4"/>
    <w:rsid w:val="005F24F3"/>
    <w:rsid w:val="005F5291"/>
    <w:rsid w:val="00623160"/>
    <w:rsid w:val="00643193"/>
    <w:rsid w:val="00645586"/>
    <w:rsid w:val="00654D2C"/>
    <w:rsid w:val="00655DCD"/>
    <w:rsid w:val="00683392"/>
    <w:rsid w:val="006A6839"/>
    <w:rsid w:val="006B3939"/>
    <w:rsid w:val="006C1A29"/>
    <w:rsid w:val="006C7634"/>
    <w:rsid w:val="006E297C"/>
    <w:rsid w:val="006F06A0"/>
    <w:rsid w:val="007139D1"/>
    <w:rsid w:val="00770A03"/>
    <w:rsid w:val="007E1D77"/>
    <w:rsid w:val="00830D67"/>
    <w:rsid w:val="008329FB"/>
    <w:rsid w:val="00844008"/>
    <w:rsid w:val="0086131A"/>
    <w:rsid w:val="00870FCF"/>
    <w:rsid w:val="008B1B03"/>
    <w:rsid w:val="008B1D1D"/>
    <w:rsid w:val="008F2101"/>
    <w:rsid w:val="009021DB"/>
    <w:rsid w:val="00902327"/>
    <w:rsid w:val="00902FE8"/>
    <w:rsid w:val="00921D60"/>
    <w:rsid w:val="00925DBD"/>
    <w:rsid w:val="009505B2"/>
    <w:rsid w:val="009520AE"/>
    <w:rsid w:val="00990C02"/>
    <w:rsid w:val="009C0558"/>
    <w:rsid w:val="009F1A04"/>
    <w:rsid w:val="00A07C8E"/>
    <w:rsid w:val="00A13328"/>
    <w:rsid w:val="00A201E7"/>
    <w:rsid w:val="00A25643"/>
    <w:rsid w:val="00A45BB6"/>
    <w:rsid w:val="00A60356"/>
    <w:rsid w:val="00A64BDE"/>
    <w:rsid w:val="00A66DEF"/>
    <w:rsid w:val="00A716B0"/>
    <w:rsid w:val="00AD4E55"/>
    <w:rsid w:val="00B2706B"/>
    <w:rsid w:val="00BF541D"/>
    <w:rsid w:val="00C16F8B"/>
    <w:rsid w:val="00CC1932"/>
    <w:rsid w:val="00D23B88"/>
    <w:rsid w:val="00E23361"/>
    <w:rsid w:val="00E93D15"/>
    <w:rsid w:val="00EE68E2"/>
    <w:rsid w:val="00EF2E2B"/>
    <w:rsid w:val="00F05C18"/>
    <w:rsid w:val="00F339A3"/>
    <w:rsid w:val="00F55FA9"/>
    <w:rsid w:val="00F91936"/>
    <w:rsid w:val="FE6BB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link w:val="13"/>
    <w:semiHidden/>
    <w:unhideWhenUsed/>
    <w:qFormat/>
    <w:uiPriority w:val="99"/>
    <w:pPr>
      <w:spacing w:after="160"/>
    </w:pPr>
    <w:rPr>
      <w:rFonts w:ascii="等线" w:hAnsi="等线" w:eastAsia="等线" w:cs="Arial"/>
      <w:kern w:val="0"/>
      <w:sz w:val="20"/>
      <w:szCs w:val="20"/>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pPr>
      <w:widowControl w:val="0"/>
      <w:spacing w:after="0"/>
    </w:pPr>
    <w:rPr>
      <w:rFonts w:ascii="Times New Roman" w:hAnsi="Times New Roman" w:eastAsia="宋体" w:cs="Times New Roman"/>
      <w:b/>
      <w:bCs/>
      <w:kern w:val="2"/>
      <w:sz w:val="21"/>
      <w:szCs w:val="21"/>
    </w:rPr>
  </w:style>
  <w:style w:type="character" w:styleId="9">
    <w:name w:val="annotation reference"/>
    <w:semiHidden/>
    <w:unhideWhenUsed/>
    <w:qFormat/>
    <w:uiPriority w:val="99"/>
    <w:rPr>
      <w:sz w:val="16"/>
      <w:szCs w:val="16"/>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字符"/>
    <w:basedOn w:val="8"/>
    <w:semiHidden/>
    <w:qFormat/>
    <w:uiPriority w:val="99"/>
    <w:rPr>
      <w:rFonts w:ascii="Times New Roman" w:hAnsi="Times New Roman" w:eastAsia="宋体" w:cs="Times New Roman"/>
      <w:szCs w:val="21"/>
    </w:rPr>
  </w:style>
  <w:style w:type="character" w:customStyle="1" w:styleId="13">
    <w:name w:val="批注文字 Char"/>
    <w:link w:val="2"/>
    <w:semiHidden/>
    <w:qFormat/>
    <w:uiPriority w:val="99"/>
    <w:rPr>
      <w:rFonts w:ascii="等线" w:hAnsi="等线" w:eastAsia="等线" w:cs="Arial"/>
      <w:kern w:val="0"/>
      <w:sz w:val="20"/>
      <w:szCs w:val="20"/>
    </w:rPr>
  </w:style>
  <w:style w:type="character" w:customStyle="1" w:styleId="14">
    <w:name w:val="批注主题 Char"/>
    <w:basedOn w:val="13"/>
    <w:link w:val="6"/>
    <w:semiHidden/>
    <w:qFormat/>
    <w:uiPriority w:val="99"/>
    <w:rPr>
      <w:rFonts w:ascii="Times New Roman" w:hAnsi="Times New Roman" w:eastAsia="宋体" w:cs="Times New Roman"/>
      <w:b/>
      <w:bCs/>
      <w:kern w:val="0"/>
      <w:sz w:val="20"/>
      <w:szCs w:val="21"/>
    </w:rPr>
  </w:style>
  <w:style w:type="paragraph" w:styleId="15">
    <w:name w:val="List Paragraph"/>
    <w:basedOn w:val="1"/>
    <w:qFormat/>
    <w:uiPriority w:val="34"/>
    <w:pPr>
      <w:ind w:firstLine="420" w:firstLineChars="200"/>
    </w:p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4578</Words>
  <Characters>26099</Characters>
  <Lines>217</Lines>
  <Paragraphs>61</Paragraphs>
  <TotalTime>25</TotalTime>
  <ScaleCrop>false</ScaleCrop>
  <LinksUpToDate>false</LinksUpToDate>
  <CharactersWithSpaces>30616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2024-08-02T16:10:00Z</dcterms:created>
  <dc:creator>Ubica</dc:creator>
  <cp:lastModifiedBy>guan.zhaohui</cp:lastModifiedBy>
  <dcterms:modified xsi:type="dcterms:W3CDTF">2024-10-22T14:05:48Z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A3706AA782C1C607BC401767EC6D80FC</vt:lpwstr>
  </property>
</Properties>
</file>