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eastAsia="华文中宋"/>
          <w:b/>
          <w:sz w:val="28"/>
          <w:szCs w:val="28"/>
        </w:rPr>
      </w:pPr>
      <w:bookmarkStart w:id="0" w:name="_GoBack"/>
      <w:bookmarkEnd w:id="0"/>
      <w:r>
        <w:rPr>
          <w:rFonts w:eastAsia="华文中宋"/>
          <w:b/>
          <w:sz w:val="28"/>
          <w:szCs w:val="28"/>
        </w:rPr>
        <w:t>ZINC FUTURES RULES OF THE SHANGHAI FUTURES EXCHANGE</w:t>
      </w:r>
    </w:p>
    <w:p>
      <w:pPr>
        <w:widowControl/>
        <w:adjustRightInd w:val="0"/>
        <w:snapToGrid w:val="0"/>
        <w:spacing w:after="312" w:afterLines="100" w:line="276" w:lineRule="auto"/>
        <w:jc w:val="center"/>
        <w:rPr>
          <w:rFonts w:eastAsia="华文中宋"/>
          <w:b/>
          <w:sz w:val="28"/>
          <w:szCs w:val="28"/>
        </w:rPr>
      </w:pPr>
    </w:p>
    <w:p>
      <w:pPr>
        <w:widowControl/>
        <w:tabs>
          <w:tab w:val="left" w:pos="1560"/>
        </w:tabs>
        <w:adjustRightInd w:val="0"/>
        <w:snapToGrid w:val="0"/>
        <w:spacing w:after="312" w:afterLines="100" w:line="276" w:lineRule="auto"/>
        <w:jc w:val="center"/>
        <w:rPr>
          <w:b/>
          <w:sz w:val="22"/>
          <w:szCs w:val="22"/>
        </w:rPr>
      </w:pPr>
      <w:r>
        <w:rPr>
          <w:b/>
          <w:sz w:val="22"/>
          <w:szCs w:val="22"/>
        </w:rPr>
        <w:t>CHAPTER 1</w:t>
      </w:r>
      <w:r>
        <w:rPr>
          <w:b/>
          <w:sz w:val="22"/>
          <w:szCs w:val="22"/>
        </w:rPr>
        <w:tab/>
      </w:r>
      <w:r>
        <w:rPr>
          <w:b/>
          <w:sz w:val="22"/>
          <w:szCs w:val="22"/>
        </w:rPr>
        <w:t>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sz w:val="22"/>
          <w:szCs w:val="22"/>
        </w:rPr>
        <w:tab/>
      </w:r>
      <w:r>
        <w:rPr>
          <w:sz w:val="22"/>
          <w:szCs w:val="22"/>
        </w:rPr>
        <w:t xml:space="preserve">These </w:t>
      </w:r>
      <w:r>
        <w:rPr>
          <w:i/>
          <w:sz w:val="22"/>
          <w:szCs w:val="22"/>
        </w:rPr>
        <w:t>Zinc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Zinc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zinc</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p>
      <w:pPr>
        <w:tabs>
          <w:tab w:val="left" w:pos="1204"/>
        </w:tabs>
        <w:adjustRightInd w:val="0"/>
        <w:snapToGrid w:val="0"/>
        <w:spacing w:after="312" w:afterLines="100" w:line="276" w:lineRule="auto"/>
        <w:jc w:val="left"/>
        <w:rPr>
          <w:color w:val="000000"/>
          <w:kern w:val="0"/>
          <w:sz w:val="22"/>
          <w:szCs w:val="22"/>
        </w:rPr>
      </w:pPr>
      <w:r>
        <w:rPr>
          <w:b/>
          <w:bCs/>
          <w:color w:val="000000"/>
          <w:sz w:val="22"/>
          <w:szCs w:val="22"/>
        </w:rPr>
        <w:t>Article 2</w:t>
      </w:r>
      <w:r>
        <w:rPr>
          <w:color w:val="000000"/>
          <w:sz w:val="22"/>
          <w:szCs w:val="22"/>
        </w:rPr>
        <w:tab/>
      </w:r>
      <w:r>
        <w:rPr>
          <w:color w:val="000000"/>
          <w:sz w:val="22"/>
          <w:szCs w:val="22"/>
        </w:rPr>
        <w:t xml:space="preserve">These </w:t>
      </w:r>
      <w:r>
        <w:rPr>
          <w:i/>
          <w:sz w:val="22"/>
          <w:szCs w:val="22"/>
        </w:rPr>
        <w:t>Zinc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pPr>
        <w:widowControl/>
        <w:tabs>
          <w:tab w:val="left" w:pos="1560"/>
        </w:tabs>
        <w:adjustRightInd w:val="0"/>
        <w:snapToGrid w:val="0"/>
        <w:spacing w:after="312" w:afterLines="100" w:line="276" w:lineRule="auto"/>
        <w:jc w:val="center"/>
        <w:rPr>
          <w:b/>
          <w:sz w:val="22"/>
          <w:szCs w:val="22"/>
        </w:rPr>
      </w:pPr>
      <w:r>
        <w:rPr>
          <w:b/>
          <w:sz w:val="22"/>
          <w:szCs w:val="22"/>
        </w:rPr>
        <w:t xml:space="preserve">CHAPTER </w:t>
      </w:r>
      <w:r>
        <w:rPr>
          <w:rFonts w:hint="eastAsia"/>
          <w:b/>
          <w:sz w:val="22"/>
          <w:szCs w:val="22"/>
        </w:rPr>
        <w:t>2</w:t>
      </w:r>
      <w:r>
        <w:rPr>
          <w:b/>
          <w:sz w:val="22"/>
          <w:szCs w:val="22"/>
        </w:rPr>
        <w:tab/>
      </w:r>
      <w:r>
        <w:rPr>
          <w:rFonts w:hint="eastAsia"/>
          <w:b/>
          <w:sz w:val="22"/>
          <w:szCs w:val="22"/>
        </w:rPr>
        <w:t>TRADING</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zinc </w:t>
      </w:r>
      <w:r>
        <w:rPr>
          <w:rFonts w:hint="eastAsia"/>
          <w:sz w:val="22"/>
          <w:szCs w:val="22"/>
        </w:rPr>
        <w:t>futures</w:t>
      </w:r>
      <w:r>
        <w:rPr>
          <w:sz w:val="22"/>
          <w:szCs w:val="22"/>
        </w:rPr>
        <w:t xml:space="preserve"> is </w:t>
      </w:r>
      <w:r>
        <w:rPr>
          <w:rFonts w:hint="eastAsia"/>
          <w:sz w:val="22"/>
          <w:szCs w:val="22"/>
        </w:rPr>
        <w:t>five (</w:t>
      </w:r>
      <w:r>
        <w:rPr>
          <w:sz w:val="22"/>
          <w:szCs w:val="22"/>
        </w:rPr>
        <w:t>5</w:t>
      </w:r>
      <w:r>
        <w:rPr>
          <w:rFonts w:hint="eastAsia"/>
          <w:sz w:val="22"/>
          <w:szCs w:val="22"/>
        </w:rPr>
        <w:t>)</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zinc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5</w:t>
      </w:r>
      <w:r>
        <w:rPr>
          <w:sz w:val="22"/>
          <w:szCs w:val="22"/>
        </w:rPr>
        <w:tab/>
      </w:r>
      <w:r>
        <w:rPr>
          <w:sz w:val="22"/>
          <w:szCs w:val="22"/>
        </w:rPr>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zinc </w:t>
      </w:r>
      <w:r>
        <w:rPr>
          <w:rFonts w:hint="eastAsia"/>
          <w:sz w:val="22"/>
          <w:szCs w:val="22"/>
        </w:rPr>
        <w:t>futures</w:t>
      </w:r>
      <w:r>
        <w:rPr>
          <w:sz w:val="22"/>
          <w:szCs w:val="22"/>
        </w:rPr>
        <w:t xml:space="preserve"> contract is</w:t>
      </w:r>
      <w:r>
        <w:rPr>
          <w:rFonts w:hint="eastAsia"/>
          <w:sz w:val="22"/>
          <w:szCs w:val="22"/>
        </w:rPr>
        <w:t xml:space="preserve"> five (5)</w:t>
      </w:r>
      <w:r>
        <w:rPr>
          <w:sz w:val="22"/>
          <w:szCs w:val="22"/>
        </w:rPr>
        <w:t xml:space="preserve"> Yuan/metric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6</w:t>
      </w:r>
      <w:r>
        <w:rPr>
          <w:sz w:val="22"/>
          <w:szCs w:val="22"/>
        </w:rPr>
        <w:tab/>
      </w:r>
      <w:r>
        <w:rPr>
          <w:sz w:val="22"/>
          <w:szCs w:val="22"/>
        </w:rPr>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zinc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 </w:t>
      </w:r>
      <w:r>
        <w:rPr>
          <w:sz w:val="22"/>
          <w:szCs w:val="22"/>
        </w:rPr>
        <w:t xml:space="preserve">zinc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8</w:t>
      </w:r>
      <w:r>
        <w:rPr>
          <w:sz w:val="22"/>
          <w:szCs w:val="22"/>
        </w:rPr>
        <w:tab/>
      </w:r>
      <w:r>
        <w:rPr>
          <w:sz w:val="22"/>
          <w:szCs w:val="22"/>
        </w:rPr>
        <w:t>The last trading day of a zinc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9</w:t>
      </w:r>
      <w:r>
        <w:rPr>
          <w:sz w:val="22"/>
          <w:szCs w:val="22"/>
        </w:rPr>
        <w:tab/>
      </w:r>
      <w:r>
        <w:rPr>
          <w:sz w:val="22"/>
          <w:szCs w:val="22"/>
        </w:rPr>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zinc </w:t>
      </w:r>
      <w:r>
        <w:rPr>
          <w:rFonts w:hint="eastAsia"/>
          <w:sz w:val="22"/>
          <w:szCs w:val="22"/>
        </w:rPr>
        <w:t>futures is ZN.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a </w:t>
      </w:r>
      <w:r>
        <w:rPr>
          <w:sz w:val="22"/>
          <w:szCs w:val="22"/>
        </w:rPr>
        <w:t>zinc</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11</w:t>
      </w:r>
      <w:r>
        <w:rPr>
          <w:sz w:val="22"/>
          <w:szCs w:val="22"/>
        </w:rPr>
        <w:tab/>
      </w:r>
      <w:r>
        <w:rPr>
          <w:sz w:val="22"/>
          <w:szCs w:val="22"/>
        </w:rPr>
        <w:t>An application for a regular month hedging quota of a zinc futures contract shall be submitted by the last trading day of the second month before the delivery month of the contract. Late applications will not be accepted by the Exchange.</w:t>
      </w:r>
    </w:p>
    <w:p>
      <w:pPr>
        <w:tabs>
          <w:tab w:val="left" w:pos="1204"/>
        </w:tabs>
        <w:adjustRightInd w:val="0"/>
        <w:snapToGrid w:val="0"/>
        <w:spacing w:after="312" w:afterLines="100" w:line="276" w:lineRule="auto"/>
        <w:jc w:val="left"/>
        <w:rPr>
          <w:sz w:val="22"/>
          <w:szCs w:val="22"/>
        </w:rPr>
      </w:pPr>
      <w:r>
        <w:rPr>
          <w:sz w:val="22"/>
          <w:szCs w:val="22"/>
        </w:rPr>
        <w:t>An application for a nearby delivery month hedging quota of a zinc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zinc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12</w:t>
      </w:r>
      <w:r>
        <w:rPr>
          <w:sz w:val="22"/>
          <w:szCs w:val="22"/>
        </w:rPr>
        <w:tab/>
      </w:r>
      <w:r>
        <w:rPr>
          <w:sz w:val="22"/>
          <w:szCs w:val="22"/>
        </w:rPr>
        <w:t xml:space="preserve">Hedging quota of a </w:t>
      </w:r>
      <w:r>
        <w:rPr>
          <w:rFonts w:hint="eastAsia"/>
          <w:sz w:val="22"/>
          <w:szCs w:val="22"/>
        </w:rPr>
        <w:t>zinc</w:t>
      </w:r>
      <w:r>
        <w:rPr>
          <w:sz w:val="22"/>
          <w:szCs w:val="22"/>
        </w:rPr>
        <w:t xml:space="preserve"> futures contract shall no longer be used in a revolving manner starting from the first trading day of the delivery month.</w:t>
      </w:r>
    </w:p>
    <w:p>
      <w:pPr>
        <w:widowControl/>
        <w:tabs>
          <w:tab w:val="left" w:pos="1560"/>
        </w:tabs>
        <w:adjustRightInd w:val="0"/>
        <w:snapToGrid w:val="0"/>
        <w:spacing w:after="312" w:afterLines="100"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zinc futures contract </w:t>
      </w:r>
      <w:r>
        <w:rPr>
          <w:sz w:val="22"/>
          <w:szCs w:val="22"/>
        </w:rPr>
        <w:t>may be physically delivered through an Exchange of Futures for Physicals (“EFP”)</w:t>
      </w:r>
      <w:r>
        <w:rPr>
          <w:rFonts w:hint="eastAsia"/>
          <w:sz w:val="22"/>
          <w:szCs w:val="22"/>
        </w:rPr>
        <w:t xml:space="preserve"> or a delivery warehouse.</w:t>
      </w:r>
    </w:p>
    <w:p>
      <w:pPr>
        <w:tabs>
          <w:tab w:val="left" w:pos="1204"/>
        </w:tabs>
        <w:adjustRightInd w:val="0"/>
        <w:snapToGrid w:val="0"/>
        <w:spacing w:after="312" w:afterLines="100" w:line="276" w:lineRule="auto"/>
        <w:jc w:val="left"/>
        <w:rPr>
          <w:sz w:val="22"/>
          <w:szCs w:val="22"/>
        </w:rPr>
      </w:pPr>
      <w:r>
        <w:rPr>
          <w:sz w:val="22"/>
          <w:szCs w:val="22"/>
        </w:rPr>
        <w:t>Zinc futures</w:t>
      </w:r>
      <w:r>
        <w:rPr>
          <w:rFonts w:hint="eastAsia"/>
          <w:sz w:val="22"/>
          <w:szCs w:val="22"/>
        </w:rPr>
        <w:t xml:space="preserve"> adopt</w:t>
      </w:r>
      <w:r>
        <w:rPr>
          <w:sz w:val="22"/>
          <w:szCs w:val="22"/>
        </w:rPr>
        <w:t xml:space="preserve"> duty-paid delivery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Zinc Cathode Futures Contract</w:t>
      </w:r>
      <w:r>
        <w:rPr>
          <w:rFonts w:hint="eastAsia"/>
          <w:i/>
          <w:iCs/>
          <w:sz w:val="22"/>
          <w:szCs w:val="22"/>
        </w:rPr>
        <w:t xml:space="preserve"> Specifications</w:t>
      </w:r>
      <w:r>
        <w:rPr>
          <w:sz w:val="22"/>
          <w:szCs w:val="22"/>
        </w:rPr>
        <w:t xml:space="preserve">. </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The deliverable commodity shall be of a registered trademark from a manufacturer registered with the Exchange.</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6</w:t>
      </w:r>
      <w:r>
        <w:rPr>
          <w:b/>
          <w:bCs/>
          <w:sz w:val="22"/>
          <w:szCs w:val="22"/>
        </w:rPr>
        <w:tab/>
      </w:r>
      <w:r>
        <w:rPr>
          <w:sz w:val="22"/>
          <w:szCs w:val="22"/>
        </w:rPr>
        <w:t xml:space="preserve">Packaging for deliverable commodity </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rFonts w:hint="eastAsia"/>
          <w:sz w:val="22"/>
          <w:szCs w:val="22"/>
        </w:rPr>
        <w:t>Z</w:t>
      </w:r>
      <w:r>
        <w:rPr>
          <w:sz w:val="22"/>
          <w:szCs w:val="22"/>
        </w:rPr>
        <w:t xml:space="preserve">inc ingots underlying each </w:t>
      </w:r>
      <w:r>
        <w:rPr>
          <w:rFonts w:hint="eastAsia"/>
          <w:sz w:val="22"/>
          <w:szCs w:val="22"/>
        </w:rPr>
        <w:t xml:space="preserve">delivery unit </w:t>
      </w:r>
      <w:r>
        <w:rPr>
          <w:sz w:val="22"/>
          <w:szCs w:val="22"/>
        </w:rPr>
        <w:t>shall consist of commodity of the same manufacturer, registered trademark, quality grade, shape, and packaged quantity (secured into bundles of similar weight). The registered manufacturer may decide the weight of each bundle at its sole discretion, provided that the bundles can readily yield the delivery unit.</w:t>
      </w:r>
      <w:r>
        <w:rPr>
          <w:rFonts w:hint="eastAsia"/>
          <w:sz w:val="22"/>
          <w:szCs w:val="22"/>
        </w:rPr>
        <w:t xml:space="preserve"> </w:t>
      </w:r>
      <w:r>
        <w:rPr>
          <w:sz w:val="22"/>
          <w:szCs w:val="22"/>
        </w:rPr>
        <w:t>Zinc ingots shall be tightened into bundles with rust-resistant steel straps measuring 30-32 mm × 0.9-1.0 mm. The strapping shall be reliable and each bundle shall be marked by a prominent and secure product label, batch number, and weight.</w:t>
      </w:r>
    </w:p>
    <w:p>
      <w:pPr>
        <w:tabs>
          <w:tab w:val="left" w:pos="709"/>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pPr>
        <w:tabs>
          <w:tab w:val="left" w:pos="709"/>
        </w:tabs>
        <w:adjustRightInd w:val="0"/>
        <w:snapToGrid w:val="0"/>
        <w:spacing w:after="312" w:afterLines="100" w:line="276" w:lineRule="auto"/>
        <w:jc w:val="left"/>
        <w:rPr>
          <w:sz w:val="22"/>
          <w:szCs w:val="22"/>
        </w:rPr>
      </w:pPr>
      <w:r>
        <w:rPr>
          <w:rFonts w:hint="eastAsia"/>
          <w:sz w:val="22"/>
          <w:szCs w:val="22"/>
        </w:rPr>
        <w:t>(iii)</w:t>
      </w:r>
      <w:r>
        <w:rPr>
          <w:sz w:val="22"/>
          <w:szCs w:val="22"/>
        </w:rPr>
        <w:tab/>
      </w:r>
      <w:r>
        <w:rPr>
          <w:sz w:val="22"/>
          <w:szCs w:val="22"/>
        </w:rPr>
        <w:t>Each domestically produced zinc ingot shall weigh eighteen (18) kilograms to thirty (30) kilograms.</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Domestic commodity: the certificate of quality issued by the registered manufacturer.</w:t>
      </w:r>
    </w:p>
    <w:p>
      <w:pPr>
        <w:tabs>
          <w:tab w:val="left" w:pos="709"/>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pPr>
        <w:tabs>
          <w:tab w:val="left" w:pos="1204"/>
        </w:tabs>
        <w:adjustRightInd w:val="0"/>
        <w:snapToGrid w:val="0"/>
        <w:spacing w:after="312" w:afterLines="100" w:line="276" w:lineRule="auto"/>
        <w:jc w:val="left"/>
        <w:rPr>
          <w:sz w:val="22"/>
          <w:szCs w:val="22"/>
        </w:rPr>
      </w:pPr>
      <w:r>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Pr>
          <w:rFonts w:hint="eastAsia"/>
          <w:sz w:val="22"/>
          <w:szCs w:val="22"/>
        </w:rPr>
        <w:t xml:space="preserve"> of </w:t>
      </w:r>
      <w:r>
        <w:rPr>
          <w:sz w:val="22"/>
          <w:szCs w:val="22"/>
        </w:rPr>
        <w:t>relevant imported products.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 xml:space="preserve">Tolerance and pound difference: The underlying zinc </w:t>
      </w:r>
      <w:r>
        <w:rPr>
          <w:rFonts w:hint="eastAsia"/>
          <w:sz w:val="22"/>
          <w:szCs w:val="22"/>
        </w:rPr>
        <w:t xml:space="preserve">ingots </w:t>
      </w:r>
      <w:r>
        <w:rPr>
          <w:sz w:val="22"/>
          <w:szCs w:val="22"/>
        </w:rPr>
        <w:t>for each standard warrant weigh twenty-five (25) metric tons. Difference between standard warrant weight and actual delivery weight shall not exceed plus or minus two percent (±2%). Pound difference shall not exceed plus or minus one-tenth of one percent (±0.1%).</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zinc futures contract is</w:t>
      </w:r>
      <w:r>
        <w:rPr>
          <w:sz w:val="22"/>
          <w:szCs w:val="22"/>
        </w:rPr>
        <w:t xml:space="preserve"> twenty-five (25) metric tons.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zinc futures contract is</w:t>
      </w:r>
      <w:r>
        <w:rPr>
          <w:sz w:val="22"/>
          <w:szCs w:val="22"/>
        </w:rPr>
        <w:t xml:space="preserve"> the two (2) consecutive business days immediately following the last trading day of the contract.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 xml:space="preserve">zinc </w:t>
      </w:r>
      <w:r>
        <w:rPr>
          <w:sz w:val="22"/>
          <w:szCs w:val="22"/>
        </w:rPr>
        <w:t>futures contract is its settlement price on the last trading day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 xml:space="preserve">If standard warrants are used for the EFPs </w:t>
      </w:r>
      <w:r>
        <w:rPr>
          <w:rFonts w:hint="eastAsia"/>
          <w:sz w:val="22"/>
          <w:szCs w:val="22"/>
        </w:rPr>
        <w:t xml:space="preserve">of a zinc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 xml:space="preserve">the buyer shall submit a request for dispute resolution within twenty-five (25) days </w:t>
      </w:r>
      <w:r>
        <w:rPr>
          <w:rFonts w:hint="eastAsia"/>
          <w:sz w:val="22"/>
          <w:szCs w:val="22"/>
        </w:rPr>
        <w:t>after</w:t>
      </w:r>
      <w:r>
        <w:rPr>
          <w:sz w:val="22"/>
          <w:szCs w:val="22"/>
        </w:rPr>
        <w:t xml:space="preserve"> the payment and the exchange of standard warrants, together with the quality assay report issued by a Designated Inspection Agency.</w:t>
      </w:r>
    </w:p>
    <w:p>
      <w:pPr>
        <w:widowControl/>
        <w:tabs>
          <w:tab w:val="left" w:pos="1560"/>
        </w:tabs>
        <w:adjustRightInd w:val="0"/>
        <w:snapToGrid w:val="0"/>
        <w:spacing w:after="312" w:afterLines="100"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zinc futures contract is 5%.</w:t>
      </w:r>
    </w:p>
    <w:p>
      <w:pPr>
        <w:tabs>
          <w:tab w:val="left" w:pos="1204"/>
        </w:tabs>
        <w:adjustRightInd w:val="0"/>
        <w:snapToGrid w:val="0"/>
        <w:spacing w:after="312" w:afterLines="100" w:line="276" w:lineRule="auto"/>
        <w:jc w:val="left"/>
        <w:rPr>
          <w:sz w:val="22"/>
          <w:szCs w:val="22"/>
        </w:rPr>
      </w:pPr>
      <w:r>
        <w:rPr>
          <w:b/>
          <w:bCs/>
          <w:sz w:val="22"/>
          <w:szCs w:val="22"/>
        </w:rPr>
        <w:t>Article 2</w:t>
      </w:r>
      <w:r>
        <w:rPr>
          <w:rFonts w:hint="eastAsia"/>
          <w:b/>
          <w:bCs/>
          <w:sz w:val="22"/>
          <w:szCs w:val="22"/>
        </w:rPr>
        <w:t>6</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zinc futures are as follows:</w:t>
      </w:r>
    </w:p>
    <w:tbl>
      <w:tblPr>
        <w:tblStyle w:val="7"/>
        <w:tblW w:w="5000" w:type="pct"/>
        <w:tblInd w:w="0" w:type="dxa"/>
        <w:tblLayout w:type="autofit"/>
        <w:tblCellMar>
          <w:top w:w="61" w:type="dxa"/>
          <w:left w:w="108" w:type="dxa"/>
          <w:bottom w:w="0" w:type="dxa"/>
          <w:right w:w="24" w:type="dxa"/>
        </w:tblCellMar>
      </w:tblPr>
      <w:tblGrid>
        <w:gridCol w:w="5817"/>
        <w:gridCol w:w="2621"/>
      </w:tblGrid>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Stage of Trading</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Trading Margin</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listing</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5%</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month prior to the delivery month</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10%</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delivery month</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15%</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second trading day prior to the last trading day</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20%</w:t>
            </w:r>
          </w:p>
        </w:tc>
      </w:tr>
    </w:tbl>
    <w:p>
      <w:pPr>
        <w:tabs>
          <w:tab w:val="left" w:pos="1204"/>
        </w:tabs>
        <w:adjustRightInd w:val="0"/>
        <w:snapToGrid w:val="0"/>
        <w:spacing w:after="312" w:afterLines="100" w:line="276" w:lineRule="auto"/>
        <w:jc w:val="left"/>
        <w:rPr>
          <w:b/>
          <w:bCs/>
          <w:sz w:val="22"/>
          <w:szCs w:val="22"/>
        </w:rPr>
      </w:pP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 zinc futures contract is w</w:t>
      </w:r>
      <w:r>
        <w:rPr>
          <w:sz w:val="22"/>
          <w:szCs w:val="22"/>
        </w:rPr>
        <w:t xml:space="preserve">ithin ±4% of </w:t>
      </w:r>
      <w:r>
        <w:rPr>
          <w:rFonts w:hint="eastAsia"/>
          <w:sz w:val="22"/>
          <w:szCs w:val="22"/>
        </w:rPr>
        <w:t>its</w:t>
      </w:r>
      <w:r>
        <w:rPr>
          <w:sz w:val="22"/>
          <w:szCs w:val="22"/>
        </w:rPr>
        <w:t xml:space="preserve"> settlement price of the preceding trading day</w:t>
      </w:r>
      <w:r>
        <w:rPr>
          <w:rFonts w:hint="eastAsia"/>
          <w:sz w:val="22"/>
          <w:szCs w:val="22"/>
        </w:rPr>
        <w: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28</w:t>
      </w:r>
      <w:r>
        <w:rPr>
          <w:bCs/>
          <w:sz w:val="22"/>
          <w:szCs w:val="22"/>
        </w:rPr>
        <w:tab/>
      </w:r>
      <w:r>
        <w:rPr>
          <w:bCs/>
          <w:sz w:val="22"/>
          <w:szCs w:val="22"/>
        </w:rPr>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zinc</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7"/>
        <w:gridCol w:w="782"/>
        <w:gridCol w:w="1596"/>
        <w:gridCol w:w="847"/>
        <w:gridCol w:w="860"/>
        <w:gridCol w:w="736"/>
        <w:gridCol w:w="802"/>
        <w:gridCol w:w="594"/>
        <w:gridCol w:w="803"/>
        <w:gridCol w:w="5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981" w:type="pct"/>
            <w:gridSpan w:val="2"/>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delivery month</w:t>
            </w:r>
          </w:p>
        </w:tc>
        <w:tc>
          <w:tcPr>
            <w:tcW w:w="1586" w:type="pct"/>
            <w:gridSpan w:val="3"/>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last trading day of the second month prior to the delivery month</w:t>
            </w:r>
          </w:p>
        </w:tc>
        <w:tc>
          <w:tcPr>
            <w:tcW w:w="982"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First month prior to the delivery month</w:t>
            </w:r>
          </w:p>
        </w:tc>
        <w:tc>
          <w:tcPr>
            <w:tcW w:w="907"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Delivery month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528"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Percentage-based Position Limit (%)</w:t>
            </w:r>
          </w:p>
        </w:tc>
        <w:tc>
          <w:tcPr>
            <w:tcW w:w="604" w:type="pct"/>
            <w:vMerge w:val="restar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982" w:type="pct"/>
            <w:gridSpan w:val="2"/>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982"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c>
          <w:tcPr>
            <w:tcW w:w="907"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8"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FF Member</w:t>
            </w:r>
          </w:p>
        </w:tc>
        <w:tc>
          <w:tcPr>
            <w:tcW w:w="604" w:type="pct"/>
            <w:vMerge w:val="continue"/>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453"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0" w:hRule="atLeast"/>
        </w:trPr>
        <w:tc>
          <w:tcPr>
            <w:tcW w:w="54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zinc</w:t>
            </w:r>
          </w:p>
        </w:tc>
        <w:tc>
          <w:tcPr>
            <w:tcW w:w="453"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6</w:t>
            </w:r>
            <w:r>
              <w:rPr>
                <w:bCs/>
                <w:sz w:val="22"/>
                <w:szCs w:val="22"/>
              </w:rPr>
              <w:t>0,000</w:t>
            </w:r>
          </w:p>
        </w:tc>
        <w:tc>
          <w:tcPr>
            <w:tcW w:w="528"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25</w:t>
            </w:r>
          </w:p>
        </w:tc>
        <w:tc>
          <w:tcPr>
            <w:tcW w:w="604"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6</w:t>
            </w:r>
            <w:r>
              <w:rPr>
                <w:bCs/>
                <w:sz w:val="22"/>
                <w:szCs w:val="22"/>
              </w:rPr>
              <w:t>0,000</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529"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2,400</w:t>
            </w:r>
          </w:p>
        </w:tc>
        <w:tc>
          <w:tcPr>
            <w:tcW w:w="45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2,400</w:t>
            </w:r>
          </w:p>
        </w:tc>
        <w:tc>
          <w:tcPr>
            <w:tcW w:w="453"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800</w:t>
            </w:r>
          </w:p>
        </w:tc>
        <w:tc>
          <w:tcPr>
            <w:tcW w:w="45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8"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04"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w:t>
            </w:r>
            <w:r>
              <w:rPr>
                <w:bCs/>
                <w:sz w:val="22"/>
                <w:szCs w:val="22"/>
              </w:rPr>
              <w:t>0,000</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w:t>
            </w:r>
            <w:r>
              <w:rPr>
                <w:bCs/>
                <w:sz w:val="22"/>
                <w:szCs w:val="22"/>
              </w:rPr>
              <w:t>,000</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w:t>
            </w:r>
            <w:r>
              <w:rPr>
                <w:bCs/>
                <w:sz w:val="22"/>
                <w:szCs w:val="22"/>
              </w:rPr>
              <w:t>,000</w:t>
            </w:r>
          </w:p>
        </w:tc>
        <w:tc>
          <w:tcPr>
            <w:tcW w:w="529"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r>
    </w:tbl>
    <w:p>
      <w:pPr>
        <w:tabs>
          <w:tab w:val="left" w:pos="1204"/>
        </w:tabs>
        <w:adjustRightInd w:val="0"/>
        <w:snapToGrid w:val="0"/>
        <w:spacing w:after="312" w:afterLines="100"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29</w:t>
      </w:r>
      <w:r>
        <w:rPr>
          <w:bCs/>
          <w:sz w:val="22"/>
          <w:szCs w:val="22"/>
        </w:rPr>
        <w:tab/>
      </w:r>
      <w:r>
        <w:rPr>
          <w:bCs/>
          <w:sz w:val="22"/>
          <w:szCs w:val="22"/>
        </w:rPr>
        <w:t xml:space="preserve">For contracts in zinc futures, by the close of the last trading day of the month prior to the delivery month, each Member or each Client shall adjust their speculative positions held through the Member, to multiples of five (5) lots and a one-day delay is allowed under special market conditions; in the delivery month, the speculative positions as well as newly opened and closed-out positions shall be held in multiples of five (5) lots. </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30</w:t>
      </w:r>
      <w:r>
        <w:rPr>
          <w:bCs/>
          <w:sz w:val="22"/>
          <w:szCs w:val="22"/>
        </w:rPr>
        <w:tab/>
      </w:r>
      <w:r>
        <w:rPr>
          <w:bCs/>
          <w:sz w:val="22"/>
          <w:szCs w:val="22"/>
        </w:rPr>
        <w:t>If the Exchange makes a forced position reduction</w:t>
      </w:r>
      <w:r>
        <w:rPr>
          <w:rFonts w:hint="eastAsia"/>
          <w:bCs/>
          <w:sz w:val="22"/>
          <w:szCs w:val="22"/>
        </w:rPr>
        <w:t xml:space="preserve"> to a zinc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pPr>
        <w:tabs>
          <w:tab w:val="left" w:pos="709"/>
        </w:tabs>
        <w:adjustRightInd w:val="0"/>
        <w:snapToGrid w:val="0"/>
        <w:spacing w:after="312" w:afterLines="100"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zinc</w:t>
      </w:r>
      <w:r>
        <w:rPr>
          <w:bCs/>
          <w:sz w:val="22"/>
          <w:szCs w:val="22"/>
        </w:rPr>
        <w:t xml:space="preserve"> futures contracts, of the settlement price of the base date.</w:t>
      </w:r>
    </w:p>
    <w:p>
      <w:pPr>
        <w:tabs>
          <w:tab w:val="left" w:pos="709"/>
        </w:tabs>
        <w:adjustRightInd w:val="0"/>
        <w:snapToGrid w:val="0"/>
        <w:spacing w:after="312" w:afterLines="100"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w:t>
      </w:r>
      <w:r>
        <w:t xml:space="preserve"> </w:t>
      </w:r>
      <w:r>
        <w:rPr>
          <w:bCs/>
          <w:sz w:val="22"/>
          <w:szCs w:val="22"/>
        </w:rPr>
        <w:t>stipulated in the Risk Management Rules of the Shanghai Futures Exchange, records average gains for speculative purposes or for hedging purposes at no less than six percent (6%).</w:t>
      </w:r>
    </w:p>
    <w:p>
      <w:pPr>
        <w:tabs>
          <w:tab w:val="left" w:pos="709"/>
        </w:tabs>
        <w:adjustRightInd w:val="0"/>
        <w:snapToGrid w:val="0"/>
        <w:spacing w:after="312" w:afterLines="100" w:line="276" w:lineRule="auto"/>
        <w:jc w:val="left"/>
        <w:rPr>
          <w:bCs/>
          <w:sz w:val="22"/>
          <w:szCs w:val="22"/>
        </w:rPr>
      </w:pPr>
      <w:r>
        <w:rPr>
          <w:rFonts w:hint="eastAsia"/>
          <w:bCs/>
          <w:sz w:val="22"/>
          <w:szCs w:val="22"/>
        </w:rPr>
        <w:t>(iii)</w:t>
      </w:r>
      <w:r>
        <w:rPr>
          <w:bCs/>
          <w:sz w:val="22"/>
          <w:szCs w:val="22"/>
        </w:rPr>
        <w:tab/>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pPr>
        <w:tabs>
          <w:tab w:val="left" w:pos="775"/>
        </w:tabs>
        <w:adjustRightInd w:val="0"/>
        <w:snapToGrid w:val="0"/>
        <w:spacing w:after="312" w:afterLines="100" w:line="276"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zinc futures</w:t>
      </w:r>
      <w:r>
        <w:rPr>
          <w:rFonts w:hint="eastAsia"/>
          <w:bCs/>
          <w:sz w:val="22"/>
          <w:szCs w:val="22"/>
        </w:rPr>
        <w:t>,</w:t>
      </w:r>
      <w:r>
        <w:rPr>
          <w:bCs/>
          <w:sz w:val="22"/>
          <w:szCs w:val="22"/>
        </w:rPr>
        <w:t xml:space="preserve"> or the Speculative Position Gains of Over 6%; </w:t>
      </w:r>
    </w:p>
    <w:p>
      <w:pPr>
        <w:tabs>
          <w:tab w:val="left" w:pos="775"/>
        </w:tabs>
        <w:adjustRightInd w:val="0"/>
        <w:snapToGrid w:val="0"/>
        <w:spacing w:after="312" w:afterLines="100" w:line="276"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zinc futures, or the Speculative Position Gains of Over 3%</w:t>
      </w:r>
      <w:r>
        <w:rPr>
          <w:rFonts w:hint="eastAsia"/>
          <w:bCs/>
          <w:sz w:val="22"/>
          <w:szCs w:val="22"/>
        </w:rPr>
        <w:t>;</w:t>
      </w:r>
    </w:p>
    <w:p>
      <w:pPr>
        <w:tabs>
          <w:tab w:val="left" w:pos="775"/>
        </w:tabs>
        <w:adjustRightInd w:val="0"/>
        <w:snapToGrid w:val="0"/>
        <w:spacing w:after="312" w:afterLines="100" w:line="276"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zinc futures, or the Speculative Position Gains Below 3%; and</w:t>
      </w:r>
    </w:p>
    <w:p>
      <w:pPr>
        <w:tabs>
          <w:tab w:val="left" w:pos="775"/>
        </w:tabs>
        <w:adjustRightInd w:val="0"/>
        <w:snapToGrid w:val="0"/>
        <w:spacing w:after="312" w:afterLines="100"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zinc futures</w:t>
      </w:r>
      <w:r>
        <w:rPr>
          <w:rFonts w:hint="eastAsia"/>
          <w:bCs/>
          <w:sz w:val="22"/>
          <w:szCs w:val="22"/>
        </w:rPr>
        <w:t>,</w:t>
      </w:r>
      <w:r>
        <w:rPr>
          <w:bCs/>
          <w:sz w:val="22"/>
          <w:szCs w:val="22"/>
        </w:rPr>
        <w:t xml:space="preserve"> or the Hedging Position Gains of Over 6%.</w:t>
      </w:r>
    </w:p>
    <w:p>
      <w:pPr>
        <w:tabs>
          <w:tab w:val="left" w:pos="709"/>
        </w:tabs>
        <w:adjustRightInd w:val="0"/>
        <w:snapToGrid w:val="0"/>
        <w:spacing w:after="312" w:afterLines="100" w:line="276" w:lineRule="auto"/>
        <w:jc w:val="left"/>
        <w:rPr>
          <w:bCs/>
          <w:sz w:val="22"/>
          <w:szCs w:val="22"/>
        </w:rPr>
      </w:pPr>
      <w:r>
        <w:rPr>
          <w:rFonts w:hint="eastAsia"/>
          <w:bCs/>
          <w:sz w:val="22"/>
          <w:szCs w:val="22"/>
        </w:rPr>
        <w:t>(iv)</w:t>
      </w:r>
      <w:r>
        <w:rPr>
          <w:bCs/>
          <w:sz w:val="22"/>
          <w:szCs w:val="22"/>
        </w:rPr>
        <w:tab/>
      </w:r>
      <w:r>
        <w:rPr>
          <w:bCs/>
          <w:sz w:val="22"/>
          <w:szCs w:val="22"/>
        </w:rPr>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widowControl/>
        <w:tabs>
          <w:tab w:val="left" w:pos="1560"/>
        </w:tabs>
        <w:adjustRightInd w:val="0"/>
        <w:snapToGrid w:val="0"/>
        <w:spacing w:after="312" w:afterLines="100" w:line="276" w:lineRule="auto"/>
        <w:jc w:val="center"/>
        <w:rPr>
          <w:b/>
          <w:bCs/>
          <w:sz w:val="22"/>
          <w:szCs w:val="22"/>
        </w:rPr>
      </w:pPr>
      <w:r>
        <w:rPr>
          <w:b/>
          <w:sz w:val="22"/>
          <w:szCs w:val="22"/>
        </w:rPr>
        <w:t xml:space="preserve">CHAPTER </w:t>
      </w:r>
      <w:r>
        <w:rPr>
          <w:rFonts w:hint="eastAsia"/>
          <w:b/>
          <w:sz w:val="22"/>
          <w:szCs w:val="22"/>
        </w:rPr>
        <w:t>5</w:t>
      </w:r>
      <w:r>
        <w:rPr>
          <w:b/>
          <w:bCs/>
          <w:sz w:val="22"/>
          <w:szCs w:val="22"/>
        </w:rPr>
        <w:tab/>
      </w:r>
      <w:r>
        <w:rPr>
          <w:b/>
          <w:bCs/>
          <w:sz w:val="22"/>
          <w:szCs w:val="22"/>
        </w:rPr>
        <w:t>MISCELLANEOUS</w:t>
      </w:r>
    </w:p>
    <w:p>
      <w:pPr>
        <w:tabs>
          <w:tab w:val="left" w:pos="775"/>
        </w:tabs>
        <w:adjustRightInd w:val="0"/>
        <w:snapToGrid w:val="0"/>
        <w:spacing w:after="312" w:afterLines="100" w:line="276" w:lineRule="auto"/>
        <w:jc w:val="left"/>
        <w:rPr>
          <w:bCs/>
          <w:iCs/>
          <w:sz w:val="22"/>
          <w:szCs w:val="22"/>
        </w:rPr>
      </w:pPr>
      <w:r>
        <w:rPr>
          <w:b/>
          <w:bCs/>
          <w:sz w:val="22"/>
          <w:szCs w:val="22"/>
        </w:rPr>
        <w:t xml:space="preserve">Article </w:t>
      </w:r>
      <w:r>
        <w:rPr>
          <w:rFonts w:hint="eastAsia"/>
          <w:b/>
          <w:bCs/>
          <w:sz w:val="22"/>
          <w:szCs w:val="22"/>
        </w:rPr>
        <w:t>31</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32</w:t>
      </w:r>
      <w:r>
        <w:rPr>
          <w:bCs/>
          <w:sz w:val="22"/>
          <w:szCs w:val="22"/>
        </w:rPr>
        <w:tab/>
      </w:r>
      <w:r>
        <w:rPr>
          <w:rFonts w:eastAsia="等线"/>
          <w:snapToGrid w:val="0"/>
          <w:kern w:val="22"/>
          <w:sz w:val="22"/>
        </w:rPr>
        <w:t>Any violation</w:t>
      </w:r>
      <w:r>
        <w:rPr>
          <w:rFonts w:hint="eastAsia" w:eastAsia="等线"/>
          <w:snapToGrid w:val="0"/>
          <w:kern w:val="22"/>
          <w:sz w:val="22"/>
        </w:rPr>
        <w:t>s</w:t>
      </w:r>
      <w:r>
        <w:rPr>
          <w:rFonts w:eastAsia="等线"/>
          <w:snapToGrid w:val="0"/>
          <w:kern w:val="22"/>
          <w:sz w:val="22"/>
        </w:rPr>
        <w:t xml:space="preserve"> of these </w:t>
      </w:r>
      <w:r>
        <w:rPr>
          <w:i/>
          <w:sz w:val="22"/>
          <w:szCs w:val="22"/>
        </w:rPr>
        <w:t>Zinc Futures Rules</w:t>
      </w:r>
      <w:r>
        <w:rPr>
          <w:rFonts w:eastAsia="等线"/>
          <w:i/>
          <w:iCs/>
          <w:snapToGrid w:val="0"/>
          <w:kern w:val="22"/>
          <w:sz w:val="22"/>
        </w:rPr>
        <w:t xml:space="preserve"> </w:t>
      </w:r>
      <w:r>
        <w:rPr>
          <w:rFonts w:hint="eastAsia"/>
          <w:sz w:val="22"/>
        </w:rPr>
        <w:t xml:space="preserve">will be handled by the Exchange in accordance with the </w:t>
      </w:r>
      <w:r>
        <w:rPr>
          <w:rFonts w:hint="eastAsia"/>
          <w:i/>
          <w:iCs/>
          <w:sz w:val="22"/>
        </w:rPr>
        <w:t>Enforcement Rules of the Shanghai Futures Exchange</w:t>
      </w:r>
      <w:r>
        <w:rPr>
          <w:rFonts w:hint="eastAsia"/>
          <w:sz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33</w:t>
      </w:r>
      <w:r>
        <w:rPr>
          <w:bCs/>
          <w:sz w:val="22"/>
          <w:szCs w:val="22"/>
        </w:rPr>
        <w:tab/>
      </w:r>
      <w:r>
        <w:rPr>
          <w:bCs/>
          <w:sz w:val="22"/>
          <w:szCs w:val="22"/>
        </w:rPr>
        <w:t xml:space="preserve">The Exchange reserves the right to interpret these </w:t>
      </w:r>
      <w:r>
        <w:rPr>
          <w:i/>
          <w:sz w:val="22"/>
          <w:szCs w:val="22"/>
        </w:rPr>
        <w:t>Zinc Futures Rules</w:t>
      </w:r>
      <w:r>
        <w:rPr>
          <w:bCs/>
          <w:sz w:val="22"/>
          <w:szCs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34</w:t>
      </w:r>
      <w:r>
        <w:rPr>
          <w:bCs/>
          <w:sz w:val="22"/>
          <w:szCs w:val="22"/>
        </w:rPr>
        <w:tab/>
      </w:r>
      <w:r>
        <w:rPr>
          <w:bCs/>
          <w:sz w:val="22"/>
          <w:szCs w:val="22"/>
        </w:rPr>
        <w:t xml:space="preserve">These </w:t>
      </w:r>
      <w:r>
        <w:rPr>
          <w:i/>
          <w:sz w:val="22"/>
          <w:szCs w:val="22"/>
        </w:rPr>
        <w:t>Zinc Futures Rules</w:t>
      </w:r>
      <w:r>
        <w:rPr>
          <w:bCs/>
          <w:sz w:val="22"/>
          <w:szCs w:val="22"/>
        </w:rPr>
        <w:t xml:space="preserve"> </w:t>
      </w:r>
      <w:r>
        <w:rPr>
          <w:rFonts w:hint="eastAsia"/>
          <w:bCs/>
          <w:sz w:val="22"/>
          <w:szCs w:val="22"/>
        </w:rPr>
        <w:t xml:space="preserve">take effect on </w:t>
      </w:r>
      <w:r>
        <w:rPr>
          <w:bCs/>
          <w:sz w:val="22"/>
          <w:szCs w:val="22"/>
        </w:rPr>
        <w:t>October 23, 2024</w:t>
      </w:r>
      <w:r>
        <w:rPr>
          <w:rFonts w:hint="eastAsia"/>
          <w:bCs/>
          <w:sz w:val="22"/>
          <w:szCs w:val="22"/>
        </w:rPr>
        <w:t>.</w:t>
      </w:r>
    </w:p>
    <w:p>
      <w:pPr>
        <w:tabs>
          <w:tab w:val="left" w:pos="775"/>
        </w:tabs>
        <w:adjustRightInd w:val="0"/>
        <w:snapToGrid w:val="0"/>
        <w:spacing w:after="312" w:afterLines="100" w:line="276" w:lineRule="auto"/>
        <w:jc w:val="left"/>
        <w:rPr>
          <w:bCs/>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4959439"/>
      <w:docPartObj>
        <w:docPartGallery w:val="AutoText"/>
      </w:docPartObj>
    </w:sdtPr>
    <w:sdtEndPr>
      <w:rPr>
        <w:sz w:val="20"/>
        <w:szCs w:val="20"/>
      </w:rPr>
    </w:sdtEndPr>
    <w:sdtContent>
      <w:p>
        <w:pPr>
          <w:pStyle w:val="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12</w:t>
        </w:r>
        <w:r>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34E9D"/>
    <w:rsid w:val="00082AC6"/>
    <w:rsid w:val="000C5C46"/>
    <w:rsid w:val="000E1A68"/>
    <w:rsid w:val="0012188C"/>
    <w:rsid w:val="001376F1"/>
    <w:rsid w:val="00141B8D"/>
    <w:rsid w:val="00165A15"/>
    <w:rsid w:val="001E254B"/>
    <w:rsid w:val="002304CD"/>
    <w:rsid w:val="002341AB"/>
    <w:rsid w:val="00243E69"/>
    <w:rsid w:val="0027521C"/>
    <w:rsid w:val="002B0829"/>
    <w:rsid w:val="002B241E"/>
    <w:rsid w:val="002B647D"/>
    <w:rsid w:val="002F76A3"/>
    <w:rsid w:val="0032403F"/>
    <w:rsid w:val="003333DE"/>
    <w:rsid w:val="003647AB"/>
    <w:rsid w:val="003B5512"/>
    <w:rsid w:val="003C12E0"/>
    <w:rsid w:val="003D3E9A"/>
    <w:rsid w:val="003D6543"/>
    <w:rsid w:val="00405229"/>
    <w:rsid w:val="00405C66"/>
    <w:rsid w:val="004161A6"/>
    <w:rsid w:val="004218E5"/>
    <w:rsid w:val="00430785"/>
    <w:rsid w:val="00431FED"/>
    <w:rsid w:val="00473ABA"/>
    <w:rsid w:val="00484517"/>
    <w:rsid w:val="004E1AD1"/>
    <w:rsid w:val="004E54F2"/>
    <w:rsid w:val="005143A7"/>
    <w:rsid w:val="0052241F"/>
    <w:rsid w:val="00522437"/>
    <w:rsid w:val="0052261D"/>
    <w:rsid w:val="005568FA"/>
    <w:rsid w:val="005653A1"/>
    <w:rsid w:val="005671F9"/>
    <w:rsid w:val="00575304"/>
    <w:rsid w:val="00575668"/>
    <w:rsid w:val="005969FD"/>
    <w:rsid w:val="005B12A3"/>
    <w:rsid w:val="005B4DD4"/>
    <w:rsid w:val="005D16F6"/>
    <w:rsid w:val="005D3E82"/>
    <w:rsid w:val="005F24F3"/>
    <w:rsid w:val="00623160"/>
    <w:rsid w:val="00623A1C"/>
    <w:rsid w:val="00626164"/>
    <w:rsid w:val="00655DCD"/>
    <w:rsid w:val="006A0157"/>
    <w:rsid w:val="006A3490"/>
    <w:rsid w:val="006B3939"/>
    <w:rsid w:val="006C1A29"/>
    <w:rsid w:val="006E04B4"/>
    <w:rsid w:val="006E10E5"/>
    <w:rsid w:val="00703747"/>
    <w:rsid w:val="007114FD"/>
    <w:rsid w:val="00727FB3"/>
    <w:rsid w:val="007715FC"/>
    <w:rsid w:val="00797B22"/>
    <w:rsid w:val="007E1D77"/>
    <w:rsid w:val="007F39ED"/>
    <w:rsid w:val="00844008"/>
    <w:rsid w:val="0086131A"/>
    <w:rsid w:val="00870FCF"/>
    <w:rsid w:val="008B1B03"/>
    <w:rsid w:val="008E0BB1"/>
    <w:rsid w:val="009021DB"/>
    <w:rsid w:val="00902FE8"/>
    <w:rsid w:val="009505B2"/>
    <w:rsid w:val="009520AE"/>
    <w:rsid w:val="00961EA9"/>
    <w:rsid w:val="00990760"/>
    <w:rsid w:val="009B78F1"/>
    <w:rsid w:val="009C0558"/>
    <w:rsid w:val="00A13328"/>
    <w:rsid w:val="00A201E7"/>
    <w:rsid w:val="00A25643"/>
    <w:rsid w:val="00A60356"/>
    <w:rsid w:val="00A66DEF"/>
    <w:rsid w:val="00AE04EC"/>
    <w:rsid w:val="00AE1BA9"/>
    <w:rsid w:val="00AE3FEA"/>
    <w:rsid w:val="00B03C3D"/>
    <w:rsid w:val="00B2706B"/>
    <w:rsid w:val="00B32A0C"/>
    <w:rsid w:val="00B36E9D"/>
    <w:rsid w:val="00BF541D"/>
    <w:rsid w:val="00BF5B3B"/>
    <w:rsid w:val="00C44729"/>
    <w:rsid w:val="00C61D59"/>
    <w:rsid w:val="00C6602C"/>
    <w:rsid w:val="00C66DFF"/>
    <w:rsid w:val="00C67AAC"/>
    <w:rsid w:val="00C75D4D"/>
    <w:rsid w:val="00CC1932"/>
    <w:rsid w:val="00CE3A9F"/>
    <w:rsid w:val="00D17B5C"/>
    <w:rsid w:val="00D23B88"/>
    <w:rsid w:val="00D26373"/>
    <w:rsid w:val="00D755E8"/>
    <w:rsid w:val="00DD6929"/>
    <w:rsid w:val="00E23361"/>
    <w:rsid w:val="00E62E6F"/>
    <w:rsid w:val="00E74151"/>
    <w:rsid w:val="00E80D29"/>
    <w:rsid w:val="00E83620"/>
    <w:rsid w:val="00E93D15"/>
    <w:rsid w:val="00EA1764"/>
    <w:rsid w:val="00EF2E2B"/>
    <w:rsid w:val="00F05C18"/>
    <w:rsid w:val="00F43613"/>
    <w:rsid w:val="00F50629"/>
    <w:rsid w:val="00F574E6"/>
    <w:rsid w:val="00F91936"/>
    <w:rsid w:val="00FA31A4"/>
    <w:rsid w:val="00FB3CD7"/>
    <w:rsid w:val="00FC67DC"/>
    <w:rsid w:val="1BEF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link w:val="13"/>
    <w:semiHidden/>
    <w:unhideWhenUsed/>
    <w:qFormat/>
    <w:uiPriority w:val="99"/>
    <w:pPr>
      <w:spacing w:after="160"/>
    </w:pPr>
    <w:rPr>
      <w:rFonts w:ascii="等线" w:hAnsi="等线" w:eastAsia="等线" w:cs="Arial"/>
      <w:kern w:val="0"/>
      <w:sz w:val="20"/>
      <w:szCs w:val="20"/>
      <w:lang w:val="en-US" w:eastAsia="zh-CN" w:bidi="ar-SA"/>
    </w:rPr>
  </w:style>
  <w:style w:type="paragraph" w:styleId="3">
    <w:name w:val="Balloon Text"/>
    <w:basedOn w:val="1"/>
    <w:link w:val="17"/>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pPr>
      <w:widowControl w:val="0"/>
      <w:spacing w:after="0"/>
    </w:pPr>
    <w:rPr>
      <w:rFonts w:ascii="Times New Roman" w:hAnsi="Times New Roman" w:eastAsia="宋体" w:cs="Times New Roman"/>
      <w:b/>
      <w:bCs/>
      <w:kern w:val="2"/>
      <w:sz w:val="21"/>
      <w:szCs w:val="21"/>
    </w:rPr>
  </w:style>
  <w:style w:type="character" w:styleId="9">
    <w:name w:val="annotation reference"/>
    <w:semiHidden/>
    <w:unhideWhenUsed/>
    <w:qFormat/>
    <w:uiPriority w:val="99"/>
    <w:rPr>
      <w:sz w:val="16"/>
      <w:szCs w:val="16"/>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字符"/>
    <w:basedOn w:val="8"/>
    <w:semiHidden/>
    <w:qFormat/>
    <w:uiPriority w:val="99"/>
    <w:rPr>
      <w:rFonts w:ascii="Times New Roman" w:hAnsi="Times New Roman" w:eastAsia="宋体" w:cs="Times New Roman"/>
      <w:szCs w:val="21"/>
    </w:rPr>
  </w:style>
  <w:style w:type="character" w:customStyle="1" w:styleId="13">
    <w:name w:val="批注文字 Char"/>
    <w:link w:val="2"/>
    <w:semiHidden/>
    <w:qFormat/>
    <w:uiPriority w:val="99"/>
    <w:rPr>
      <w:rFonts w:ascii="等线" w:hAnsi="等线" w:eastAsia="等线" w:cs="Arial"/>
      <w:kern w:val="0"/>
      <w:sz w:val="20"/>
      <w:szCs w:val="20"/>
    </w:rPr>
  </w:style>
  <w:style w:type="character" w:customStyle="1" w:styleId="14">
    <w:name w:val="批注主题 Char"/>
    <w:basedOn w:val="13"/>
    <w:link w:val="6"/>
    <w:semiHidden/>
    <w:qFormat/>
    <w:uiPriority w:val="99"/>
    <w:rPr>
      <w:rFonts w:ascii="Times New Roman" w:hAnsi="Times New Roman" w:eastAsia="宋体" w:cs="Times New Roman"/>
      <w:b/>
      <w:bCs/>
      <w:kern w:val="0"/>
      <w:sz w:val="20"/>
      <w:szCs w:val="21"/>
    </w:rPr>
  </w:style>
  <w:style w:type="paragraph" w:customStyle="1" w:styleId="15">
    <w:name w:val="Revision"/>
    <w:hidden/>
    <w:semiHidden/>
    <w:qFormat/>
    <w:uiPriority w:val="99"/>
    <w:rPr>
      <w:rFonts w:ascii="Times New Roman" w:hAnsi="Times New Roman" w:eastAsia="宋体" w:cs="Times New Roman"/>
      <w:kern w:val="2"/>
      <w:sz w:val="21"/>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3883</Words>
  <Characters>22138</Characters>
  <Lines>184</Lines>
  <Paragraphs>51</Paragraphs>
  <TotalTime>15</TotalTime>
  <ScaleCrop>false</ScaleCrop>
  <LinksUpToDate>false</LinksUpToDate>
  <CharactersWithSpaces>25970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2024-08-02T17:03:00Z</dcterms:created>
  <dc:creator>Ubica</dc:creator>
  <cp:lastModifiedBy>guan.zhaohui</cp:lastModifiedBy>
  <dcterms:modified xsi:type="dcterms:W3CDTF">2024-10-22T14:10:16Z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5C6BEDBFA2ED442DC84117670C4D23C3</vt:lpwstr>
  </property>
</Properties>
</file>