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2"/>
          <w:szCs w:val="22"/>
        </w:rPr>
      </w:pPr>
      <w:bookmarkStart w:id="0" w:name="_GoBack"/>
      <w:bookmarkEnd w:id="0"/>
      <w:r>
        <w:rPr>
          <w:rFonts w:eastAsia="华文中宋"/>
          <w:b/>
          <w:sz w:val="28"/>
          <w:szCs w:val="28"/>
        </w:rPr>
        <w:t>NICKEL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Nickel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Nickel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nickel</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Nickel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nickel </w:t>
      </w:r>
      <w:r>
        <w:rPr>
          <w:rFonts w:hint="eastAsia"/>
          <w:sz w:val="22"/>
          <w:szCs w:val="22"/>
        </w:rPr>
        <w:t>futures</w:t>
      </w:r>
      <w:r>
        <w:rPr>
          <w:sz w:val="22"/>
          <w:szCs w:val="22"/>
        </w:rPr>
        <w:t xml:space="preserve"> is </w:t>
      </w:r>
      <w:r>
        <w:rPr>
          <w:rFonts w:hint="eastAsia"/>
          <w:sz w:val="22"/>
          <w:szCs w:val="22"/>
        </w:rPr>
        <w:t>one (1)</w:t>
      </w:r>
      <w:r>
        <w:rPr>
          <w:sz w:val="22"/>
          <w:szCs w:val="22"/>
        </w:rPr>
        <w:t xml:space="preserve"> </w:t>
      </w:r>
      <w:r>
        <w:rPr>
          <w:rFonts w:hint="eastAsia"/>
          <w:sz w:val="22"/>
          <w:szCs w:val="22"/>
        </w:rPr>
        <w:t xml:space="preserve">metric </w:t>
      </w:r>
      <w:r>
        <w:rPr>
          <w:sz w:val="22"/>
          <w:szCs w:val="22"/>
        </w:rPr>
        <w:t>ton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nickel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nickel </w:t>
      </w:r>
      <w:r>
        <w:rPr>
          <w:rFonts w:hint="eastAsia"/>
          <w:sz w:val="22"/>
          <w:szCs w:val="22"/>
        </w:rPr>
        <w:t>futures</w:t>
      </w:r>
      <w:r>
        <w:rPr>
          <w:sz w:val="22"/>
          <w:szCs w:val="22"/>
        </w:rPr>
        <w:t xml:space="preserve"> contract is</w:t>
      </w:r>
      <w:r>
        <w:rPr>
          <w:rFonts w:hint="eastAsia"/>
          <w:sz w:val="22"/>
          <w:szCs w:val="22"/>
        </w:rPr>
        <w:t xml:space="preserve"> ten (</w:t>
      </w:r>
      <w:r>
        <w:rPr>
          <w:sz w:val="22"/>
          <w:szCs w:val="22"/>
        </w:rPr>
        <w:t>10</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nickel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nickel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 nickel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nickel </w:t>
      </w:r>
      <w:r>
        <w:rPr>
          <w:rFonts w:hint="eastAsia"/>
          <w:sz w:val="22"/>
          <w:szCs w:val="22"/>
        </w:rPr>
        <w:t>futures is NI.</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a </w:t>
      </w:r>
      <w:r>
        <w:rPr>
          <w:sz w:val="22"/>
          <w:szCs w:val="22"/>
        </w:rPr>
        <w:t>nickel</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nickel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nickel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nickel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nickel</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nickel futures contract </w:t>
      </w:r>
      <w:r>
        <w:rPr>
          <w:sz w:val="22"/>
          <w:szCs w:val="22"/>
        </w:rPr>
        <w:t>may be physically delivered through an Exchange of Futures for Physicals (“EFP”)</w:t>
      </w:r>
      <w:r>
        <w:rPr>
          <w:rFonts w:hint="eastAsia"/>
          <w:sz w:val="22"/>
          <w:szCs w:val="22"/>
        </w:rPr>
        <w:t xml:space="preserve"> or a delivery warehouse.</w:t>
      </w:r>
    </w:p>
    <w:p>
      <w:pPr>
        <w:tabs>
          <w:tab w:val="left" w:pos="1204"/>
        </w:tabs>
        <w:adjustRightInd w:val="0"/>
        <w:snapToGrid w:val="0"/>
        <w:spacing w:after="312" w:afterLines="100" w:line="276" w:lineRule="auto"/>
        <w:jc w:val="left"/>
        <w:rPr>
          <w:sz w:val="22"/>
          <w:szCs w:val="22"/>
        </w:rPr>
      </w:pPr>
      <w:r>
        <w:rPr>
          <w:rFonts w:hint="eastAsia"/>
          <w:sz w:val="22"/>
          <w:szCs w:val="22"/>
        </w:rPr>
        <w:t>Nickel</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Nickel Futures Contract</w:t>
      </w:r>
      <w:r>
        <w:rPr>
          <w:rFonts w:hint="eastAsia"/>
          <w:i/>
          <w:iCs/>
          <w:sz w:val="22"/>
          <w:szCs w:val="22"/>
        </w:rPr>
        <w:t xml:space="preserve"> Specifications</w:t>
      </w:r>
      <w:r>
        <w:rPr>
          <w:sz w:val="22"/>
          <w:szCs w:val="22"/>
        </w:rPr>
        <w:t xml:space="preserve">. </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 xml:space="preserve">The deliverable commodity shall be of a registered brand from a manufacturer registered with the Exchange, or of a </w:t>
      </w:r>
      <w:r>
        <w:rPr>
          <w:rFonts w:hint="eastAsia"/>
          <w:sz w:val="22"/>
          <w:szCs w:val="22"/>
        </w:rPr>
        <w:t>designated</w:t>
      </w:r>
      <w:r>
        <w:rPr>
          <w:sz w:val="22"/>
          <w:szCs w:val="22"/>
        </w:rPr>
        <w:t xml:space="preserve"> brand from a manufacturer recognized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16</w:t>
      </w:r>
      <w:r>
        <w:rPr>
          <w:sz w:val="22"/>
          <w:szCs w:val="22"/>
        </w:rPr>
        <w:tab/>
      </w:r>
      <w:r>
        <w:rPr>
          <w:sz w:val="22"/>
          <w:szCs w:val="22"/>
        </w:rPr>
        <w:t>Packaging for deliverable commodity</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Nickel cathodes (full plate)</w:t>
      </w:r>
    </w:p>
    <w:p>
      <w:pPr>
        <w:tabs>
          <w:tab w:val="left" w:pos="709"/>
        </w:tabs>
        <w:adjustRightInd w:val="0"/>
        <w:snapToGrid w:val="0"/>
        <w:spacing w:after="312" w:afterLines="100" w:line="276" w:lineRule="auto"/>
        <w:jc w:val="left"/>
        <w:rPr>
          <w:sz w:val="22"/>
          <w:szCs w:val="22"/>
        </w:rPr>
      </w:pPr>
      <w:r>
        <w:rPr>
          <w:sz w:val="22"/>
          <w:szCs w:val="22"/>
        </w:rPr>
        <w:t>1.</w:t>
      </w:r>
      <w:r>
        <w:rPr>
          <w:sz w:val="22"/>
          <w:szCs w:val="22"/>
        </w:rPr>
        <w:tab/>
      </w:r>
      <w:r>
        <w:rPr>
          <w:sz w:val="22"/>
          <w:szCs w:val="22"/>
        </w:rPr>
        <w:t xml:space="preserve">Electrolytic nickel cathodes underlying each </w:t>
      </w:r>
      <w:r>
        <w:rPr>
          <w:rFonts w:hint="eastAsia"/>
          <w:sz w:val="22"/>
          <w:szCs w:val="22"/>
        </w:rPr>
        <w:t xml:space="preserve">delivery unit </w:t>
      </w:r>
      <w:r>
        <w:rPr>
          <w:sz w:val="22"/>
          <w:szCs w:val="22"/>
        </w:rPr>
        <w:t xml:space="preserve">shall consist of commodity of the same manufacturer, </w:t>
      </w:r>
      <w:r>
        <w:rPr>
          <w:rFonts w:hint="eastAsia"/>
          <w:sz w:val="22"/>
          <w:szCs w:val="22"/>
        </w:rPr>
        <w:t>grade (</w:t>
      </w:r>
      <w:r>
        <w:rPr>
          <w:sz w:val="22"/>
          <w:szCs w:val="22"/>
        </w:rPr>
        <w:t>designation</w:t>
      </w:r>
      <w:r>
        <w:rPr>
          <w:rFonts w:hint="eastAsia"/>
          <w:sz w:val="22"/>
          <w:szCs w:val="22"/>
        </w:rPr>
        <w:t>)</w:t>
      </w:r>
      <w:r>
        <w:rPr>
          <w:sz w:val="22"/>
          <w:szCs w:val="22"/>
        </w:rPr>
        <w:t xml:space="preserve">, registered or </w:t>
      </w:r>
      <w:r>
        <w:rPr>
          <w:rFonts w:hint="eastAsia"/>
          <w:sz w:val="22"/>
          <w:szCs w:val="22"/>
        </w:rPr>
        <w:t>designated</w:t>
      </w:r>
      <w:r>
        <w:rPr>
          <w:sz w:val="22"/>
          <w:szCs w:val="22"/>
        </w:rPr>
        <w:t xml:space="preserve"> brand, quality grade, shape, </w:t>
      </w:r>
      <w:r>
        <w:rPr>
          <w:rFonts w:hint="eastAsia"/>
          <w:sz w:val="22"/>
          <w:szCs w:val="22"/>
        </w:rPr>
        <w:t xml:space="preserve">and </w:t>
      </w:r>
      <w:r>
        <w:rPr>
          <w:sz w:val="22"/>
          <w:szCs w:val="22"/>
        </w:rPr>
        <w:t>secured into bundles of similar weight. The manufacturer may decide the weight of each bundle at its sole discretion, provided that the bundles can readily yield the delivery unit.</w:t>
      </w:r>
      <w:r>
        <w:rPr>
          <w:rFonts w:hint="eastAsia"/>
          <w:sz w:val="22"/>
          <w:szCs w:val="22"/>
        </w:rPr>
        <w:t xml:space="preserve"> </w:t>
      </w:r>
      <w:r>
        <w:rPr>
          <w:sz w:val="22"/>
          <w:szCs w:val="22"/>
        </w:rPr>
        <w:t>Nickel cathodes shall be tightened into bundles with rust-resistant steel straps measuring 30-32 mm × 0.9-1.0 mm in a dual-line grid (“#”) pattern, or with other methods of comparable strength using steel straps. The strapping shall be reliable and each bundle shall be marked by a prominent and secure product label.</w:t>
      </w:r>
    </w:p>
    <w:p>
      <w:pPr>
        <w:tabs>
          <w:tab w:val="left" w:pos="709"/>
        </w:tabs>
        <w:adjustRightInd w:val="0"/>
        <w:snapToGrid w:val="0"/>
        <w:spacing w:after="312" w:afterLines="100" w:line="276" w:lineRule="auto"/>
        <w:jc w:val="left"/>
        <w:rPr>
          <w:sz w:val="22"/>
          <w:szCs w:val="22"/>
        </w:rPr>
      </w:pPr>
      <w:r>
        <w:rPr>
          <w:sz w:val="22"/>
          <w:szCs w:val="22"/>
        </w:rPr>
        <w:t>2.</w:t>
      </w:r>
      <w:r>
        <w:rPr>
          <w:sz w:val="22"/>
          <w:szCs w:val="22"/>
        </w:rPr>
        <w:tab/>
      </w:r>
      <w:r>
        <w:rPr>
          <w:sz w:val="22"/>
          <w:szCs w:val="22"/>
        </w:rPr>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Nickel briquettes</w:t>
      </w:r>
    </w:p>
    <w:p>
      <w:pPr>
        <w:tabs>
          <w:tab w:val="left" w:pos="709"/>
        </w:tabs>
        <w:adjustRightInd w:val="0"/>
        <w:snapToGrid w:val="0"/>
        <w:spacing w:after="312" w:afterLines="100" w:line="276" w:lineRule="auto"/>
        <w:jc w:val="left"/>
        <w:rPr>
          <w:sz w:val="22"/>
          <w:szCs w:val="22"/>
        </w:rPr>
      </w:pPr>
      <w:r>
        <w:rPr>
          <w:sz w:val="22"/>
          <w:szCs w:val="22"/>
        </w:rPr>
        <w:t>1.</w:t>
      </w:r>
      <w:r>
        <w:rPr>
          <w:sz w:val="22"/>
          <w:szCs w:val="22"/>
        </w:rPr>
        <w:tab/>
      </w:r>
      <w:r>
        <w:rPr>
          <w:sz w:val="22"/>
          <w:szCs w:val="22"/>
        </w:rPr>
        <w:t xml:space="preserve">Electrolytic nickel briquettes underlying each </w:t>
      </w:r>
      <w:r>
        <w:rPr>
          <w:rFonts w:hint="eastAsia"/>
          <w:sz w:val="22"/>
          <w:szCs w:val="22"/>
        </w:rPr>
        <w:t xml:space="preserve">delivery unit </w:t>
      </w:r>
      <w:r>
        <w:rPr>
          <w:sz w:val="22"/>
          <w:szCs w:val="22"/>
        </w:rPr>
        <w:t xml:space="preserve">shall consist of commodity of the same manufacturer, </w:t>
      </w:r>
      <w:r>
        <w:rPr>
          <w:rFonts w:hint="eastAsia"/>
          <w:sz w:val="22"/>
          <w:szCs w:val="22"/>
        </w:rPr>
        <w:t>grade (</w:t>
      </w:r>
      <w:r>
        <w:rPr>
          <w:sz w:val="22"/>
          <w:szCs w:val="22"/>
        </w:rPr>
        <w:t>designation</w:t>
      </w:r>
      <w:r>
        <w:rPr>
          <w:rFonts w:hint="eastAsia"/>
          <w:sz w:val="22"/>
          <w:szCs w:val="22"/>
        </w:rPr>
        <w:t>)</w:t>
      </w:r>
      <w:r>
        <w:rPr>
          <w:sz w:val="22"/>
          <w:szCs w:val="22"/>
        </w:rPr>
        <w:t xml:space="preserve">, registered or </w:t>
      </w:r>
      <w:r>
        <w:rPr>
          <w:rFonts w:hint="eastAsia"/>
          <w:sz w:val="22"/>
          <w:szCs w:val="22"/>
        </w:rPr>
        <w:t xml:space="preserve">designated </w:t>
      </w:r>
      <w:r>
        <w:rPr>
          <w:sz w:val="22"/>
          <w:szCs w:val="22"/>
        </w:rPr>
        <w:t xml:space="preserve">brand, and quality grade. Nickel briquettes may be packaged in bags or drums. The manufacturer may decide the weight of each </w:t>
      </w:r>
      <w:r>
        <w:rPr>
          <w:rFonts w:hint="eastAsia"/>
          <w:sz w:val="22"/>
          <w:szCs w:val="22"/>
        </w:rPr>
        <w:t xml:space="preserve">bag or </w:t>
      </w:r>
      <w:r>
        <w:rPr>
          <w:sz w:val="22"/>
          <w:szCs w:val="22"/>
        </w:rPr>
        <w:t>drum at its sole discretion, provided that the</w:t>
      </w:r>
      <w:r>
        <w:rPr>
          <w:rFonts w:hint="eastAsia"/>
          <w:sz w:val="22"/>
          <w:szCs w:val="22"/>
        </w:rPr>
        <w:t xml:space="preserve"> bags or </w:t>
      </w:r>
      <w:r>
        <w:rPr>
          <w:sz w:val="22"/>
          <w:szCs w:val="22"/>
        </w:rPr>
        <w:t>drum</w:t>
      </w:r>
      <w:r>
        <w:rPr>
          <w:rFonts w:hint="eastAsia"/>
          <w:sz w:val="22"/>
          <w:szCs w:val="22"/>
        </w:rPr>
        <w:t>s</w:t>
      </w:r>
      <w:r>
        <w:rPr>
          <w:sz w:val="22"/>
          <w:szCs w:val="22"/>
        </w:rPr>
        <w:t xml:space="preserve"> can readily yield the delivery unit.</w:t>
      </w:r>
      <w:r>
        <w:rPr>
          <w:rFonts w:hint="eastAsia"/>
          <w:sz w:val="22"/>
          <w:szCs w:val="22"/>
        </w:rPr>
        <w:t xml:space="preserve"> </w:t>
      </w:r>
      <w:r>
        <w:rPr>
          <w:sz w:val="22"/>
          <w:szCs w:val="22"/>
        </w:rPr>
        <w:t xml:space="preserve">Each bag or drum </w:t>
      </w:r>
      <w:r>
        <w:rPr>
          <w:rFonts w:hint="eastAsia"/>
          <w:sz w:val="22"/>
          <w:szCs w:val="22"/>
        </w:rPr>
        <w:t>s</w:t>
      </w:r>
      <w:r>
        <w:rPr>
          <w:sz w:val="22"/>
          <w:szCs w:val="22"/>
        </w:rPr>
        <w:t>hall be marked by a prominent and secure product label.</w:t>
      </w:r>
    </w:p>
    <w:p>
      <w:pPr>
        <w:tabs>
          <w:tab w:val="left" w:pos="709"/>
        </w:tabs>
        <w:adjustRightInd w:val="0"/>
        <w:snapToGrid w:val="0"/>
        <w:spacing w:after="312" w:afterLines="100" w:line="276" w:lineRule="auto"/>
        <w:jc w:val="left"/>
        <w:rPr>
          <w:sz w:val="22"/>
          <w:szCs w:val="22"/>
        </w:rPr>
      </w:pPr>
      <w:r>
        <w:rPr>
          <w:sz w:val="22"/>
          <w:szCs w:val="22"/>
        </w:rPr>
        <w:t>2.</w:t>
      </w:r>
      <w:r>
        <w:rPr>
          <w:sz w:val="22"/>
          <w:szCs w:val="22"/>
        </w:rPr>
        <w:tab/>
      </w:r>
      <w:r>
        <w:rPr>
          <w:sz w:val="22"/>
          <w:szCs w:val="22"/>
        </w:rPr>
        <w:t>If the commodities arrive at the warehouse with broken packaging, the commodities shall be repackaged with any costs incurred borne by the owner.</w:t>
      </w:r>
    </w:p>
    <w:p>
      <w:pPr>
        <w:tabs>
          <w:tab w:val="left" w:pos="709"/>
        </w:tabs>
        <w:adjustRightInd w:val="0"/>
        <w:snapToGrid w:val="0"/>
        <w:spacing w:after="312" w:afterLines="100" w:line="276" w:lineRule="auto"/>
        <w:jc w:val="left"/>
        <w:rPr>
          <w:sz w:val="22"/>
          <w:szCs w:val="22"/>
        </w:rPr>
      </w:pPr>
      <w:r>
        <w:rPr>
          <w:sz w:val="22"/>
          <w:szCs w:val="22"/>
        </w:rPr>
        <w:t>(iii)</w:t>
      </w:r>
      <w:r>
        <w:rPr>
          <w:sz w:val="22"/>
          <w:szCs w:val="22"/>
        </w:rPr>
        <w:tab/>
      </w:r>
      <w:r>
        <w:rPr>
          <w:sz w:val="22"/>
          <w:szCs w:val="22"/>
        </w:rPr>
        <w:t>Others</w:t>
      </w:r>
    </w:p>
    <w:p>
      <w:pPr>
        <w:tabs>
          <w:tab w:val="left" w:pos="1204"/>
        </w:tabs>
        <w:adjustRightInd w:val="0"/>
        <w:snapToGrid w:val="0"/>
        <w:spacing w:after="312" w:afterLines="100" w:line="276" w:lineRule="auto"/>
        <w:jc w:val="left"/>
        <w:rPr>
          <w:sz w:val="22"/>
          <w:szCs w:val="22"/>
        </w:rPr>
      </w:pPr>
      <w:r>
        <w:rPr>
          <w:sz w:val="22"/>
          <w:szCs w:val="22"/>
        </w:rPr>
        <w:t>To be separately announced by the Exchange.</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pPr>
        <w:tabs>
          <w:tab w:val="left" w:pos="709"/>
        </w:tabs>
        <w:adjustRightInd w:val="0"/>
        <w:snapToGrid w:val="0"/>
        <w:spacing w:after="312" w:afterLines="100" w:line="276" w:lineRule="auto"/>
        <w:jc w:val="left"/>
        <w:rPr>
          <w:sz w:val="22"/>
          <w:szCs w:val="22"/>
        </w:rPr>
      </w:pPr>
      <w:r>
        <w:rPr>
          <w:sz w:val="22"/>
          <w:szCs w:val="22"/>
        </w:rPr>
        <w:t>(i)</w:t>
      </w:r>
      <w:r>
        <w:rPr>
          <w:sz w:val="22"/>
          <w:szCs w:val="22"/>
        </w:rPr>
        <w:tab/>
      </w:r>
      <w:r>
        <w:rPr>
          <w:sz w:val="22"/>
          <w:szCs w:val="22"/>
        </w:rPr>
        <w:t>Domestic commodity: the certificate of quality issued by the registered manufacturer.</w:t>
      </w:r>
    </w:p>
    <w:p>
      <w:pPr>
        <w:tabs>
          <w:tab w:val="left" w:pos="709"/>
        </w:tabs>
        <w:adjustRightInd w:val="0"/>
        <w:snapToGrid w:val="0"/>
        <w:spacing w:after="312" w:afterLines="100" w:line="276" w:lineRule="auto"/>
        <w:jc w:val="left"/>
        <w:rPr>
          <w:sz w:val="22"/>
          <w:szCs w:val="22"/>
        </w:rPr>
      </w:pPr>
      <w:r>
        <w:rPr>
          <w:sz w:val="22"/>
          <w:szCs w:val="22"/>
        </w:rPr>
        <w:t>(ii)</w:t>
      </w:r>
      <w:r>
        <w:rPr>
          <w:sz w:val="22"/>
          <w:szCs w:val="22"/>
        </w:rPr>
        <w:tab/>
      </w:r>
      <w:r>
        <w:rPr>
          <w:sz w:val="22"/>
          <w:szCs w:val="22"/>
        </w:rPr>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pPr>
        <w:tabs>
          <w:tab w:val="left" w:pos="1204"/>
        </w:tabs>
        <w:adjustRightInd w:val="0"/>
        <w:snapToGrid w:val="0"/>
        <w:spacing w:after="312" w:afterLines="100"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w:t>
      </w:r>
      <w:r>
        <w:rPr>
          <w:rFonts w:hint="eastAsia"/>
        </w:rPr>
        <w:t>e</w:t>
      </w:r>
      <w:r>
        <w:rPr>
          <w:sz w:val="22"/>
          <w:szCs w:val="22"/>
        </w:rPr>
        <w:t xml:space="preserve">lectrolytic nickel for each standard warrant weighs </w:t>
      </w:r>
      <w:r>
        <w:rPr>
          <w:rFonts w:hint="eastAsia"/>
          <w:sz w:val="22"/>
          <w:szCs w:val="22"/>
        </w:rPr>
        <w:t>six</w:t>
      </w:r>
      <w:r>
        <w:rPr>
          <w:sz w:val="22"/>
          <w:szCs w:val="22"/>
        </w:rPr>
        <w:t xml:space="preserve"> (</w:t>
      </w:r>
      <w:r>
        <w:rPr>
          <w:rFonts w:hint="eastAsia"/>
          <w:sz w:val="22"/>
          <w:szCs w:val="22"/>
        </w:rPr>
        <w:t>6</w:t>
      </w:r>
      <w:r>
        <w:rPr>
          <w:sz w:val="22"/>
          <w:szCs w:val="22"/>
        </w:rPr>
        <w:t xml:space="preserve">) metric tons. Difference between standard warrant weight and actual delivery weight shall not exceed plus or minus </w:t>
      </w:r>
      <w:r>
        <w:rPr>
          <w:rFonts w:hint="eastAsia"/>
          <w:sz w:val="22"/>
          <w:szCs w:val="22"/>
        </w:rPr>
        <w:t>three</w:t>
      </w:r>
      <w:r>
        <w:rPr>
          <w:sz w:val="22"/>
          <w:szCs w:val="22"/>
        </w:rPr>
        <w:t xml:space="preserve"> percent (±</w:t>
      </w:r>
      <w:r>
        <w:rPr>
          <w:rFonts w:hint="eastAsia"/>
          <w:sz w:val="22"/>
          <w:szCs w:val="22"/>
        </w:rPr>
        <w:t>3</w:t>
      </w:r>
      <w:r>
        <w:rPr>
          <w:sz w:val="22"/>
          <w:szCs w:val="22"/>
        </w:rPr>
        <w:t>%). Pound difference shall not exceed plus or minus one-tenth of one percent (±0.1%).</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nickel futures contract is</w:t>
      </w:r>
      <w:r>
        <w:rPr>
          <w:sz w:val="22"/>
          <w:szCs w:val="22"/>
        </w:rPr>
        <w:t xml:space="preserve"> </w:t>
      </w:r>
      <w:r>
        <w:rPr>
          <w:rFonts w:hint="eastAsia"/>
          <w:sz w:val="22"/>
          <w:szCs w:val="22"/>
        </w:rPr>
        <w:t>six</w:t>
      </w:r>
      <w:r>
        <w:rPr>
          <w:sz w:val="22"/>
          <w:szCs w:val="22"/>
        </w:rPr>
        <w:t xml:space="preserve"> (</w:t>
      </w:r>
      <w:r>
        <w:rPr>
          <w:rFonts w:hint="eastAsia"/>
          <w:sz w:val="22"/>
          <w:szCs w:val="22"/>
        </w:rPr>
        <w:t>6</w:t>
      </w:r>
      <w:r>
        <w:rPr>
          <w:sz w:val="22"/>
          <w:szCs w:val="22"/>
        </w:rPr>
        <w:t>)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nickel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nickel </w:t>
      </w:r>
      <w:r>
        <w:rPr>
          <w:sz w:val="22"/>
          <w:szCs w:val="22"/>
        </w:rPr>
        <w:t>futures contract is its settlement price on the last trading day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r>
        <w:rPr>
          <w:rFonts w:hint="eastAsia"/>
          <w:sz w:val="22"/>
          <w:szCs w:val="22"/>
        </w:rPr>
        <w:t xml:space="preserve"> </w:t>
      </w:r>
      <w:r>
        <w:rPr>
          <w:sz w:val="22"/>
          <w:szCs w:val="22"/>
        </w:rPr>
        <w:t>The electrolytic nickel intended for delivery must be stored indoors.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nickel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nickel futures contract is 5%.</w:t>
      </w:r>
    </w:p>
    <w:p>
      <w:pPr>
        <w:tabs>
          <w:tab w:val="left" w:pos="1204"/>
        </w:tabs>
        <w:adjustRightInd w:val="0"/>
        <w:snapToGrid w:val="0"/>
        <w:spacing w:after="312" w:afterLines="100"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nickel futures are as follows:</w:t>
      </w:r>
    </w:p>
    <w:tbl>
      <w:tblPr>
        <w:tblStyle w:val="7"/>
        <w:tblW w:w="5000" w:type="pct"/>
        <w:tblInd w:w="0" w:type="dxa"/>
        <w:tblLayout w:type="autofit"/>
        <w:tblCellMar>
          <w:top w:w="61" w:type="dxa"/>
          <w:left w:w="108" w:type="dxa"/>
          <w:bottom w:w="0" w:type="dxa"/>
          <w:right w:w="24" w:type="dxa"/>
        </w:tblCellMar>
      </w:tblPr>
      <w:tblGrid>
        <w:gridCol w:w="5817"/>
        <w:gridCol w:w="2621"/>
      </w:tblGrid>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nickel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28</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nickel</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7"/>
        <w:gridCol w:w="782"/>
        <w:gridCol w:w="1596"/>
        <w:gridCol w:w="847"/>
        <w:gridCol w:w="860"/>
        <w:gridCol w:w="736"/>
        <w:gridCol w:w="802"/>
        <w:gridCol w:w="594"/>
        <w:gridCol w:w="803"/>
        <w:gridCol w:w="5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86"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04"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982"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04"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53"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nickel</w:t>
            </w: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52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453"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w:t>
            </w:r>
            <w:r>
              <w:rPr>
                <w:bCs/>
                <w:sz w:val="22"/>
                <w:szCs w:val="22"/>
              </w:rPr>
              <w:t>0,000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w:t>
            </w:r>
            <w:r>
              <w:rPr>
                <w:bCs/>
                <w:sz w:val="22"/>
                <w:szCs w:val="22"/>
              </w:rPr>
              <w:t>,000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w:t>
            </w:r>
            <w:r>
              <w:rPr>
                <w:bCs/>
                <w:sz w:val="22"/>
                <w:szCs w:val="22"/>
              </w:rPr>
              <w:t>,000</w:t>
            </w:r>
          </w:p>
        </w:tc>
        <w:tc>
          <w:tcPr>
            <w:tcW w:w="52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29</w:t>
      </w:r>
      <w:r>
        <w:rPr>
          <w:bCs/>
          <w:sz w:val="22"/>
          <w:szCs w:val="22"/>
        </w:rPr>
        <w:tab/>
      </w:r>
      <w:r>
        <w:rPr>
          <w:bCs/>
          <w:sz w:val="22"/>
          <w:szCs w:val="22"/>
        </w:rPr>
        <w:t xml:space="preserve">For contracts in nickel futures, by the close of the last trading day of the month prior to the delivery month, each Member or each Client shall adjust their speculative positions held through the Member, to multiples of </w:t>
      </w:r>
      <w:r>
        <w:rPr>
          <w:rFonts w:hint="eastAsia"/>
          <w:bCs/>
          <w:sz w:val="22"/>
          <w:szCs w:val="22"/>
        </w:rPr>
        <w:t>six</w:t>
      </w:r>
      <w:r>
        <w:rPr>
          <w:bCs/>
          <w:sz w:val="22"/>
          <w:szCs w:val="22"/>
        </w:rPr>
        <w:t xml:space="preserve"> (</w:t>
      </w:r>
      <w:r>
        <w:rPr>
          <w:rFonts w:hint="eastAsia"/>
          <w:bCs/>
          <w:sz w:val="22"/>
          <w:szCs w:val="22"/>
        </w:rPr>
        <w:t>6</w:t>
      </w:r>
      <w:r>
        <w:rPr>
          <w:bCs/>
          <w:sz w:val="22"/>
          <w:szCs w:val="22"/>
        </w:rPr>
        <w:t xml:space="preserve">) lots and a one-day delay is allowed under special market conditions; in the delivery month, the speculative positions as well as newly opened and closed-out positions shall be held in multiples of </w:t>
      </w:r>
      <w:r>
        <w:rPr>
          <w:rFonts w:hint="eastAsia"/>
          <w:bCs/>
          <w:sz w:val="22"/>
          <w:szCs w:val="22"/>
        </w:rPr>
        <w:t>six</w:t>
      </w:r>
      <w:r>
        <w:rPr>
          <w:bCs/>
          <w:sz w:val="22"/>
          <w:szCs w:val="22"/>
        </w:rPr>
        <w:t xml:space="preserve"> (</w:t>
      </w:r>
      <w:r>
        <w:rPr>
          <w:rFonts w:hint="eastAsia"/>
          <w:bCs/>
          <w:sz w:val="22"/>
          <w:szCs w:val="22"/>
        </w:rPr>
        <w:t>6</w:t>
      </w:r>
      <w:r>
        <w:rPr>
          <w:bCs/>
          <w:sz w:val="22"/>
          <w:szCs w:val="22"/>
        </w:rPr>
        <w:t xml:space="preserve">)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30</w:t>
      </w:r>
      <w:r>
        <w:rPr>
          <w:bCs/>
          <w:sz w:val="22"/>
          <w:szCs w:val="22"/>
        </w:rPr>
        <w:tab/>
      </w:r>
      <w:r>
        <w:rPr>
          <w:bCs/>
          <w:sz w:val="22"/>
          <w:szCs w:val="22"/>
        </w:rPr>
        <w:t>If the Exchange makes a forced position reduction</w:t>
      </w:r>
      <w:r>
        <w:rPr>
          <w:rFonts w:hint="eastAsia"/>
          <w:bCs/>
          <w:sz w:val="22"/>
          <w:szCs w:val="22"/>
        </w:rPr>
        <w:t xml:space="preserve"> to a nickel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nickel</w:t>
      </w:r>
      <w:r>
        <w:rPr>
          <w:bCs/>
          <w:sz w:val="22"/>
          <w:szCs w:val="22"/>
        </w:rPr>
        <w:t xml:space="preserve"> futures contracts, of the settlement price of the base date.</w:t>
      </w:r>
    </w:p>
    <w:p>
      <w:pPr>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nickel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nickel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nickel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nickel futures</w:t>
      </w:r>
      <w:r>
        <w:rPr>
          <w:rFonts w:hint="eastAsia"/>
          <w:bCs/>
          <w:sz w:val="22"/>
          <w:szCs w:val="22"/>
        </w:rPr>
        <w:t>,</w:t>
      </w:r>
      <w:r>
        <w:rPr>
          <w:bCs/>
          <w:sz w:val="22"/>
          <w:szCs w:val="22"/>
        </w:rPr>
        <w:t xml:space="preserve"> or the Hedging Position Gains of Over 6%.</w:t>
      </w:r>
    </w:p>
    <w:p>
      <w:pPr>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widowControl/>
        <w:tabs>
          <w:tab w:val="left" w:pos="1560"/>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Nickel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r>
      <w:r>
        <w:rPr>
          <w:bCs/>
          <w:sz w:val="22"/>
          <w:szCs w:val="22"/>
        </w:rPr>
        <w:t xml:space="preserve">The Exchange reserves the right to interpret these </w:t>
      </w:r>
      <w:r>
        <w:rPr>
          <w:i/>
          <w:sz w:val="22"/>
          <w:szCs w:val="22"/>
        </w:rPr>
        <w:t>Nickel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r>
      <w:r>
        <w:rPr>
          <w:bCs/>
          <w:sz w:val="22"/>
          <w:szCs w:val="22"/>
        </w:rPr>
        <w:t xml:space="preserve">These </w:t>
      </w:r>
      <w:r>
        <w:rPr>
          <w:i/>
          <w:sz w:val="22"/>
          <w:szCs w:val="22"/>
        </w:rPr>
        <w:t>Nickel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28755"/>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12</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09C4"/>
    <w:rsid w:val="00000F77"/>
    <w:rsid w:val="00044E52"/>
    <w:rsid w:val="000C5C46"/>
    <w:rsid w:val="000E1A68"/>
    <w:rsid w:val="0016298D"/>
    <w:rsid w:val="001D680B"/>
    <w:rsid w:val="001E254B"/>
    <w:rsid w:val="001E7252"/>
    <w:rsid w:val="001F2BEA"/>
    <w:rsid w:val="0021098E"/>
    <w:rsid w:val="0021484B"/>
    <w:rsid w:val="002148B6"/>
    <w:rsid w:val="002341AB"/>
    <w:rsid w:val="00265DBA"/>
    <w:rsid w:val="0027521C"/>
    <w:rsid w:val="00287DEF"/>
    <w:rsid w:val="00297E2C"/>
    <w:rsid w:val="002A7549"/>
    <w:rsid w:val="002B0829"/>
    <w:rsid w:val="002B241E"/>
    <w:rsid w:val="002B647D"/>
    <w:rsid w:val="002F76A3"/>
    <w:rsid w:val="0032403F"/>
    <w:rsid w:val="00324CCE"/>
    <w:rsid w:val="003333DE"/>
    <w:rsid w:val="003647AB"/>
    <w:rsid w:val="00370321"/>
    <w:rsid w:val="00391233"/>
    <w:rsid w:val="003C12E0"/>
    <w:rsid w:val="003D088E"/>
    <w:rsid w:val="003D6543"/>
    <w:rsid w:val="003F3EE1"/>
    <w:rsid w:val="004161A6"/>
    <w:rsid w:val="0042138D"/>
    <w:rsid w:val="004218E5"/>
    <w:rsid w:val="00431FED"/>
    <w:rsid w:val="004B6D97"/>
    <w:rsid w:val="004D4C92"/>
    <w:rsid w:val="004E1AD1"/>
    <w:rsid w:val="004E54F2"/>
    <w:rsid w:val="00545761"/>
    <w:rsid w:val="005551BE"/>
    <w:rsid w:val="005568FA"/>
    <w:rsid w:val="005653A1"/>
    <w:rsid w:val="00575304"/>
    <w:rsid w:val="005B4DD4"/>
    <w:rsid w:val="005B7AFA"/>
    <w:rsid w:val="005F24F3"/>
    <w:rsid w:val="005F3A09"/>
    <w:rsid w:val="005F5291"/>
    <w:rsid w:val="0060505F"/>
    <w:rsid w:val="0062008A"/>
    <w:rsid w:val="00623160"/>
    <w:rsid w:val="006479B1"/>
    <w:rsid w:val="00655A3B"/>
    <w:rsid w:val="00655DCD"/>
    <w:rsid w:val="00661B6F"/>
    <w:rsid w:val="00666FDF"/>
    <w:rsid w:val="006B049C"/>
    <w:rsid w:val="006B3939"/>
    <w:rsid w:val="006C1A29"/>
    <w:rsid w:val="006E6AD3"/>
    <w:rsid w:val="00724355"/>
    <w:rsid w:val="00755370"/>
    <w:rsid w:val="007715FC"/>
    <w:rsid w:val="00787C19"/>
    <w:rsid w:val="00793BE0"/>
    <w:rsid w:val="007B5E0C"/>
    <w:rsid w:val="007E1D77"/>
    <w:rsid w:val="007E2B46"/>
    <w:rsid w:val="007E5458"/>
    <w:rsid w:val="007F5B7B"/>
    <w:rsid w:val="00844008"/>
    <w:rsid w:val="0086131A"/>
    <w:rsid w:val="00870FCF"/>
    <w:rsid w:val="008B1B03"/>
    <w:rsid w:val="008B2FAD"/>
    <w:rsid w:val="008E0BB1"/>
    <w:rsid w:val="008E2770"/>
    <w:rsid w:val="008F2E36"/>
    <w:rsid w:val="00901F86"/>
    <w:rsid w:val="009021DB"/>
    <w:rsid w:val="00902FE8"/>
    <w:rsid w:val="0091736D"/>
    <w:rsid w:val="009505B2"/>
    <w:rsid w:val="009520AE"/>
    <w:rsid w:val="009878D0"/>
    <w:rsid w:val="009C0558"/>
    <w:rsid w:val="009F0AEA"/>
    <w:rsid w:val="00A13328"/>
    <w:rsid w:val="00A201E7"/>
    <w:rsid w:val="00A25643"/>
    <w:rsid w:val="00A60356"/>
    <w:rsid w:val="00A66DEF"/>
    <w:rsid w:val="00A82BDE"/>
    <w:rsid w:val="00AB4024"/>
    <w:rsid w:val="00B2706B"/>
    <w:rsid w:val="00B32A0C"/>
    <w:rsid w:val="00BF541D"/>
    <w:rsid w:val="00C128C6"/>
    <w:rsid w:val="00C35277"/>
    <w:rsid w:val="00C74BD6"/>
    <w:rsid w:val="00CC1932"/>
    <w:rsid w:val="00CD6567"/>
    <w:rsid w:val="00CE0815"/>
    <w:rsid w:val="00CF12A5"/>
    <w:rsid w:val="00D23B88"/>
    <w:rsid w:val="00DC3062"/>
    <w:rsid w:val="00DF6AC8"/>
    <w:rsid w:val="00E23361"/>
    <w:rsid w:val="00E2573D"/>
    <w:rsid w:val="00E3060D"/>
    <w:rsid w:val="00E93D15"/>
    <w:rsid w:val="00EF2E2B"/>
    <w:rsid w:val="00F05C18"/>
    <w:rsid w:val="00F8610C"/>
    <w:rsid w:val="00F91936"/>
    <w:rsid w:val="00F91FB1"/>
    <w:rsid w:val="00FC67DC"/>
    <w:rsid w:val="00FF051F"/>
    <w:rsid w:val="FFA5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4155</Words>
  <Characters>23688</Characters>
  <Lines>197</Lines>
  <Paragraphs>55</Paragraphs>
  <TotalTime>12</TotalTime>
  <ScaleCrop>false</ScaleCrop>
  <LinksUpToDate>false</LinksUpToDate>
  <CharactersWithSpaces>27788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2024-08-05T09:17:00Z</dcterms:created>
  <dc:creator>Ubica</dc:creator>
  <cp:lastModifiedBy>guan.zhaohui</cp:lastModifiedBy>
  <dcterms:modified xsi:type="dcterms:W3CDTF">2024-10-22T14:08:35Z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D087A960E124D4BA63411767703B8557</vt:lpwstr>
  </property>
</Properties>
</file>