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bookmarkStart w:id="0" w:name="_GoBack"/>
      <w:bookmarkEnd w:id="0"/>
      <w:r>
        <w:rPr>
          <w:rFonts w:eastAsia="华文中宋"/>
          <w:b/>
          <w:sz w:val="28"/>
          <w:szCs w:val="28"/>
        </w:rPr>
        <w:t>TIN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Tin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Tin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tin</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Tin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tin </w:t>
      </w:r>
      <w:r>
        <w:rPr>
          <w:rFonts w:hint="eastAsia"/>
          <w:sz w:val="22"/>
          <w:szCs w:val="22"/>
        </w:rPr>
        <w:t>futures</w:t>
      </w:r>
      <w:r>
        <w:rPr>
          <w:sz w:val="22"/>
          <w:szCs w:val="22"/>
        </w:rPr>
        <w:t xml:space="preserve"> is </w:t>
      </w:r>
      <w:r>
        <w:rPr>
          <w:rFonts w:hint="eastAsia"/>
          <w:sz w:val="22"/>
          <w:szCs w:val="22"/>
        </w:rPr>
        <w:t>one (1)</w:t>
      </w:r>
      <w:r>
        <w:rPr>
          <w:sz w:val="22"/>
          <w:szCs w:val="22"/>
        </w:rPr>
        <w:t xml:space="preserve"> </w:t>
      </w:r>
      <w:r>
        <w:rPr>
          <w:rFonts w:hint="eastAsia"/>
          <w:sz w:val="22"/>
          <w:szCs w:val="22"/>
        </w:rPr>
        <w:t xml:space="preserve">metric </w:t>
      </w:r>
      <w:r>
        <w:rPr>
          <w:sz w:val="22"/>
          <w:szCs w:val="22"/>
        </w:rPr>
        <w:t>ton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tin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tin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tin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tin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tin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tin </w:t>
      </w:r>
      <w:r>
        <w:rPr>
          <w:rFonts w:hint="eastAsia"/>
          <w:sz w:val="22"/>
          <w:szCs w:val="22"/>
        </w:rPr>
        <w:t>futures is SN.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 </w:t>
      </w:r>
      <w:r>
        <w:rPr>
          <w:sz w:val="22"/>
          <w:szCs w:val="22"/>
        </w:rPr>
        <w:t>tin</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tin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tin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tin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tin</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tin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sz w:val="22"/>
          <w:szCs w:val="22"/>
        </w:rPr>
        <w:t>T</w:t>
      </w:r>
      <w:r>
        <w:rPr>
          <w:rFonts w:hint="eastAsia"/>
          <w:sz w:val="22"/>
          <w:szCs w:val="22"/>
        </w:rPr>
        <w:t>in</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Tin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 xml:space="preserve">The deliverable commodity shall be of a registered </w:t>
      </w:r>
      <w:r>
        <w:rPr>
          <w:rFonts w:hint="eastAsia"/>
          <w:sz w:val="22"/>
          <w:szCs w:val="22"/>
        </w:rPr>
        <w:t>brand</w:t>
      </w:r>
      <w:r>
        <w:rPr>
          <w:sz w:val="22"/>
          <w:szCs w:val="22"/>
        </w:rPr>
        <w:t xml:space="preserve">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Tin ingots underlying each delivery</w:t>
      </w:r>
      <w:r>
        <w:rPr>
          <w:rFonts w:hint="eastAsia"/>
          <w:sz w:val="22"/>
          <w:szCs w:val="22"/>
        </w:rPr>
        <w:t xml:space="preserve"> unit </w:t>
      </w:r>
      <w:r>
        <w:rPr>
          <w:sz w:val="22"/>
          <w:szCs w:val="22"/>
        </w:rPr>
        <w:t xml:space="preserve">shall consist of commodity of the same manufacturer, designation and grade, registered brand, quality grade, shape, and packaged quantity (secured into bundles of similar weight). The registered manufacturer may decide the weight of each bundle </w:t>
      </w:r>
      <w:r>
        <w:rPr>
          <w:rFonts w:hint="eastAsia"/>
          <w:sz w:val="22"/>
          <w:szCs w:val="22"/>
        </w:rPr>
        <w:t>at</w:t>
      </w:r>
      <w:r>
        <w:rPr>
          <w:sz w:val="22"/>
          <w:szCs w:val="22"/>
        </w:rPr>
        <w:t xml:space="preserve"> its sole discretion, provided that the bundles can readily yield the delivery unit. Each bu</w:t>
      </w:r>
      <w:r>
        <w:rPr>
          <w:rFonts w:hint="eastAsia"/>
          <w:sz w:val="22"/>
          <w:szCs w:val="22"/>
        </w:rPr>
        <w:t>n</w:t>
      </w:r>
      <w:r>
        <w:rPr>
          <w:sz w:val="22"/>
          <w:szCs w:val="22"/>
        </w:rPr>
        <w:t>dle shall be tightened with rust-resistant steel straps or with other methods of comparable strength using PET straps. The strapping shall be reliable and each bundle shall be marked by a prominent and secure product label.</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709"/>
        </w:tabs>
        <w:adjustRightInd w:val="0"/>
        <w:snapToGrid w:val="0"/>
        <w:spacing w:after="312" w:afterLines="100" w:line="276" w:lineRule="auto"/>
        <w:jc w:val="left"/>
        <w:rPr>
          <w:sz w:val="22"/>
          <w:szCs w:val="22"/>
        </w:rPr>
      </w:pPr>
      <w:r>
        <w:rPr>
          <w:rFonts w:hint="eastAsia"/>
          <w:sz w:val="22"/>
          <w:szCs w:val="22"/>
        </w:rPr>
        <w:t>(iii)</w:t>
      </w:r>
      <w:r>
        <w:rPr>
          <w:sz w:val="22"/>
          <w:szCs w:val="22"/>
        </w:rPr>
        <w:tab/>
      </w:r>
      <w:r>
        <w:rPr>
          <w:sz w:val="22"/>
          <w:szCs w:val="22"/>
        </w:rPr>
        <w:t>Each domestically produced tin ingot shall weigh twenty-five (25) kilograms plus or minus one point five (±1.5) kilograms.</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tin </w:t>
      </w:r>
      <w:r>
        <w:rPr>
          <w:rFonts w:hint="eastAsia"/>
          <w:sz w:val="22"/>
          <w:szCs w:val="22"/>
        </w:rPr>
        <w:t>ingots</w:t>
      </w:r>
      <w:r>
        <w:rPr>
          <w:sz w:val="22"/>
          <w:szCs w:val="22"/>
        </w:rPr>
        <w:t xml:space="preserve"> for each standard warrant weigh t</w:t>
      </w:r>
      <w:r>
        <w:rPr>
          <w:rFonts w:hint="eastAsia"/>
          <w:sz w:val="22"/>
          <w:szCs w:val="22"/>
        </w:rPr>
        <w:t>wo</w:t>
      </w:r>
      <w:r>
        <w:rPr>
          <w:sz w:val="22"/>
          <w:szCs w:val="22"/>
        </w:rPr>
        <w:t xml:space="preserve"> (2) metric tons. Difference between standard warrant weight and actual delivery weight shall not exceed plus or minus </w:t>
      </w:r>
      <w:r>
        <w:rPr>
          <w:rFonts w:hint="eastAsia"/>
          <w:sz w:val="22"/>
          <w:szCs w:val="22"/>
        </w:rPr>
        <w:t>three</w:t>
      </w:r>
      <w:r>
        <w:rPr>
          <w:sz w:val="22"/>
          <w:szCs w:val="22"/>
        </w:rPr>
        <w:t xml:space="preserve"> percent (±</w:t>
      </w:r>
      <w:r>
        <w:rPr>
          <w:rFonts w:hint="eastAsia"/>
          <w:sz w:val="22"/>
          <w:szCs w:val="22"/>
        </w:rPr>
        <w:t>3</w:t>
      </w:r>
      <w:r>
        <w:rPr>
          <w:sz w:val="22"/>
          <w:szCs w:val="22"/>
        </w:rPr>
        <w:t>%).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tin futures contract is</w:t>
      </w:r>
      <w:r>
        <w:rPr>
          <w:sz w:val="22"/>
          <w:szCs w:val="22"/>
        </w:rPr>
        <w:t xml:space="preserve"> </w:t>
      </w:r>
      <w:r>
        <w:rPr>
          <w:rFonts w:hint="eastAsia"/>
          <w:sz w:val="22"/>
          <w:szCs w:val="22"/>
        </w:rPr>
        <w:t>two</w:t>
      </w:r>
      <w:r>
        <w:rPr>
          <w:sz w:val="22"/>
          <w:szCs w:val="22"/>
        </w:rPr>
        <w:t xml:space="preserve"> (2)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tin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tin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tin ingots intended for delivery must be stored indoors.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tin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tin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tin futures are as follows:</w:t>
      </w:r>
    </w:p>
    <w:tbl>
      <w:tblPr>
        <w:tblStyle w:val="7"/>
        <w:tblW w:w="5000" w:type="pct"/>
        <w:tblInd w:w="0" w:type="dxa"/>
        <w:tblLayout w:type="autofit"/>
        <w:tblCellMar>
          <w:top w:w="61" w:type="dxa"/>
          <w:left w:w="108" w:type="dxa"/>
          <w:bottom w:w="0" w:type="dxa"/>
          <w:right w:w="24" w:type="dxa"/>
        </w:tblCellMar>
      </w:tblPr>
      <w:tblGrid>
        <w:gridCol w:w="6619"/>
        <w:gridCol w:w="1819"/>
      </w:tblGrid>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922"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078"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tin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28</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tin</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7"/>
        <w:gridCol w:w="782"/>
        <w:gridCol w:w="1596"/>
        <w:gridCol w:w="847"/>
        <w:gridCol w:w="860"/>
        <w:gridCol w:w="736"/>
        <w:gridCol w:w="802"/>
        <w:gridCol w:w="594"/>
        <w:gridCol w:w="803"/>
        <w:gridCol w:w="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86"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04"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982"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04"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5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tin</w:t>
            </w: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≥15,000</w:t>
            </w:r>
          </w:p>
        </w:tc>
        <w:tc>
          <w:tcPr>
            <w:tcW w:w="52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≥15,000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2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c>
          <w:tcPr>
            <w:tcW w:w="45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w:t>
            </w:r>
            <w:r>
              <w:rPr>
                <w:bCs/>
                <w:sz w:val="22"/>
                <w:szCs w:val="22"/>
              </w:rPr>
              <w:t>15,000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1,500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1,500</w:t>
            </w:r>
          </w:p>
        </w:tc>
        <w:tc>
          <w:tcPr>
            <w:tcW w:w="52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29</w:t>
      </w:r>
      <w:r>
        <w:rPr>
          <w:bCs/>
          <w:sz w:val="22"/>
          <w:szCs w:val="22"/>
        </w:rPr>
        <w:tab/>
      </w:r>
      <w:r>
        <w:rPr>
          <w:bCs/>
          <w:sz w:val="22"/>
          <w:szCs w:val="22"/>
        </w:rPr>
        <w:t xml:space="preserve">For contracts in tin futures, by the close of the last trading day of the month prior to the delivery month, each Member or each Client shall adjust their speculative positions held through the Member, to multiples of </w:t>
      </w:r>
      <w:r>
        <w:rPr>
          <w:rFonts w:hint="eastAsia"/>
          <w:bCs/>
          <w:sz w:val="22"/>
          <w:szCs w:val="22"/>
        </w:rPr>
        <w:t>two</w:t>
      </w:r>
      <w:r>
        <w:rPr>
          <w:bCs/>
          <w:sz w:val="22"/>
          <w:szCs w:val="22"/>
        </w:rPr>
        <w:t xml:space="preserve"> (</w:t>
      </w:r>
      <w:r>
        <w:rPr>
          <w:rFonts w:hint="eastAsia"/>
          <w:bCs/>
          <w:sz w:val="22"/>
          <w:szCs w:val="22"/>
        </w:rPr>
        <w:t>2</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two</w:t>
      </w:r>
      <w:r>
        <w:rPr>
          <w:bCs/>
          <w:sz w:val="22"/>
          <w:szCs w:val="22"/>
        </w:rPr>
        <w:t xml:space="preserve"> (</w:t>
      </w:r>
      <w:r>
        <w:rPr>
          <w:rFonts w:hint="eastAsia"/>
          <w:bCs/>
          <w:sz w:val="22"/>
          <w:szCs w:val="22"/>
        </w:rPr>
        <w:t>2</w:t>
      </w:r>
      <w:r>
        <w:rPr>
          <w:bCs/>
          <w:sz w:val="22"/>
          <w:szCs w:val="22"/>
        </w:rPr>
        <w:t xml:space="preserve">)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If the Exchange makes a forced position reduction</w:t>
      </w:r>
      <w:r>
        <w:rPr>
          <w:rFonts w:hint="eastAsia"/>
          <w:bCs/>
          <w:sz w:val="22"/>
          <w:szCs w:val="22"/>
        </w:rPr>
        <w:t xml:space="preserve"> to a tin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tin</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tin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tin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tin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tin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560"/>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Tin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r>
      <w:r>
        <w:rPr>
          <w:bCs/>
          <w:sz w:val="22"/>
          <w:szCs w:val="22"/>
        </w:rPr>
        <w:t xml:space="preserve">The Exchange reserves the right to interpret these </w:t>
      </w:r>
      <w:r>
        <w:rPr>
          <w:i/>
          <w:sz w:val="22"/>
          <w:szCs w:val="22"/>
        </w:rPr>
        <w:t>Tin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r>
      <w:r>
        <w:rPr>
          <w:bCs/>
          <w:sz w:val="22"/>
          <w:szCs w:val="22"/>
        </w:rPr>
        <w:t xml:space="preserve">These </w:t>
      </w:r>
      <w:r>
        <w:rPr>
          <w:i/>
          <w:sz w:val="22"/>
          <w:szCs w:val="22"/>
        </w:rPr>
        <w:t>Tin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12</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0AA2"/>
    <w:rsid w:val="00056956"/>
    <w:rsid w:val="000C5C46"/>
    <w:rsid w:val="000E1A68"/>
    <w:rsid w:val="001379FE"/>
    <w:rsid w:val="0018010B"/>
    <w:rsid w:val="001E254B"/>
    <w:rsid w:val="001F5C54"/>
    <w:rsid w:val="0022511B"/>
    <w:rsid w:val="002341AB"/>
    <w:rsid w:val="0027521C"/>
    <w:rsid w:val="0029480E"/>
    <w:rsid w:val="002B0829"/>
    <w:rsid w:val="002B241E"/>
    <w:rsid w:val="002B53BA"/>
    <w:rsid w:val="002B647D"/>
    <w:rsid w:val="002F76A3"/>
    <w:rsid w:val="0032403F"/>
    <w:rsid w:val="003327AF"/>
    <w:rsid w:val="003333DE"/>
    <w:rsid w:val="00340FB6"/>
    <w:rsid w:val="003469D6"/>
    <w:rsid w:val="003647AB"/>
    <w:rsid w:val="00396173"/>
    <w:rsid w:val="003C12E0"/>
    <w:rsid w:val="003D6543"/>
    <w:rsid w:val="003E564D"/>
    <w:rsid w:val="004047B6"/>
    <w:rsid w:val="004101DD"/>
    <w:rsid w:val="004161A6"/>
    <w:rsid w:val="004218E5"/>
    <w:rsid w:val="00431FED"/>
    <w:rsid w:val="004E1AD1"/>
    <w:rsid w:val="004E54F2"/>
    <w:rsid w:val="005568FA"/>
    <w:rsid w:val="005653A1"/>
    <w:rsid w:val="00575304"/>
    <w:rsid w:val="005A3787"/>
    <w:rsid w:val="005A44B0"/>
    <w:rsid w:val="005B4DD4"/>
    <w:rsid w:val="005D20B1"/>
    <w:rsid w:val="005F24F3"/>
    <w:rsid w:val="005F3FB9"/>
    <w:rsid w:val="00623160"/>
    <w:rsid w:val="00655DCD"/>
    <w:rsid w:val="006B3939"/>
    <w:rsid w:val="006C1A29"/>
    <w:rsid w:val="007018C5"/>
    <w:rsid w:val="007110D8"/>
    <w:rsid w:val="00746FC5"/>
    <w:rsid w:val="007715FC"/>
    <w:rsid w:val="007936D5"/>
    <w:rsid w:val="007E1D77"/>
    <w:rsid w:val="00844008"/>
    <w:rsid w:val="0086131A"/>
    <w:rsid w:val="00870FCF"/>
    <w:rsid w:val="00884B62"/>
    <w:rsid w:val="008A62B0"/>
    <w:rsid w:val="008B0EF5"/>
    <w:rsid w:val="008B1B03"/>
    <w:rsid w:val="008C60AD"/>
    <w:rsid w:val="008E0BB1"/>
    <w:rsid w:val="008E2FFA"/>
    <w:rsid w:val="009021DB"/>
    <w:rsid w:val="00902FE8"/>
    <w:rsid w:val="00915E42"/>
    <w:rsid w:val="00923BE0"/>
    <w:rsid w:val="009505B2"/>
    <w:rsid w:val="009520AE"/>
    <w:rsid w:val="009903DC"/>
    <w:rsid w:val="009C0558"/>
    <w:rsid w:val="00A13328"/>
    <w:rsid w:val="00A201E7"/>
    <w:rsid w:val="00A25643"/>
    <w:rsid w:val="00A41B20"/>
    <w:rsid w:val="00A60356"/>
    <w:rsid w:val="00A66DEF"/>
    <w:rsid w:val="00AB1183"/>
    <w:rsid w:val="00AB2E2E"/>
    <w:rsid w:val="00B2706B"/>
    <w:rsid w:val="00B32A0C"/>
    <w:rsid w:val="00B63389"/>
    <w:rsid w:val="00BB52C1"/>
    <w:rsid w:val="00BC7EC4"/>
    <w:rsid w:val="00BF541D"/>
    <w:rsid w:val="00C13BD4"/>
    <w:rsid w:val="00C679E7"/>
    <w:rsid w:val="00CA4B5D"/>
    <w:rsid w:val="00CC1932"/>
    <w:rsid w:val="00D23B88"/>
    <w:rsid w:val="00D56AB1"/>
    <w:rsid w:val="00D7734B"/>
    <w:rsid w:val="00E0108C"/>
    <w:rsid w:val="00E23361"/>
    <w:rsid w:val="00E84AAF"/>
    <w:rsid w:val="00E851E9"/>
    <w:rsid w:val="00E93D15"/>
    <w:rsid w:val="00EE63BC"/>
    <w:rsid w:val="00EF2E2B"/>
    <w:rsid w:val="00F05C18"/>
    <w:rsid w:val="00F91936"/>
    <w:rsid w:val="00FA6662"/>
    <w:rsid w:val="00FB5E8C"/>
    <w:rsid w:val="00FC67DC"/>
    <w:rsid w:val="3D7C8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3888</Words>
  <Characters>22167</Characters>
  <Lines>184</Lines>
  <Paragraphs>52</Paragraphs>
  <TotalTime>48</TotalTime>
  <ScaleCrop>false</ScaleCrop>
  <LinksUpToDate>false</LinksUpToDate>
  <CharactersWithSpaces>26003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2024-08-05T09:23:00Z</dcterms:created>
  <dc:creator>Ubica</dc:creator>
  <cp:lastModifiedBy>guan.zhaohui</cp:lastModifiedBy>
  <dcterms:modified xsi:type="dcterms:W3CDTF">2024-10-22T14:09:36Z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6C593D166B595F68A04117676AC036CA</vt:lpwstr>
  </property>
</Properties>
</file>