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276" w:lineRule="auto"/>
        <w:jc w:val="center"/>
        <w:rPr>
          <w:rFonts w:eastAsia="华文中宋"/>
          <w:b/>
          <w:sz w:val="28"/>
          <w:szCs w:val="28"/>
        </w:rPr>
      </w:pPr>
      <w:bookmarkStart w:id="0" w:name="_GoBack"/>
      <w:bookmarkEnd w:id="0"/>
      <w:r>
        <w:rPr>
          <w:rFonts w:eastAsia="华文中宋"/>
          <w:b/>
          <w:sz w:val="28"/>
          <w:szCs w:val="28"/>
        </w:rPr>
        <w:t>ALUMINUM OXIDE FUTURES RULES OF THE SHANGHAI FUTURES EXCHANGE</w:t>
      </w:r>
    </w:p>
    <w:p>
      <w:pPr>
        <w:widowControl/>
        <w:adjustRightInd w:val="0"/>
        <w:snapToGrid w:val="0"/>
        <w:spacing w:after="312" w:afterLines="100" w:line="276" w:lineRule="auto"/>
        <w:jc w:val="center"/>
        <w:rPr>
          <w:rFonts w:eastAsia="华文中宋"/>
          <w:b/>
          <w:sz w:val="28"/>
          <w:szCs w:val="28"/>
        </w:rPr>
      </w:pP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CHAPTER 1</w:t>
      </w:r>
      <w:r>
        <w:rPr>
          <w:b/>
          <w:sz w:val="22"/>
          <w:szCs w:val="22"/>
        </w:rPr>
        <w:tab/>
      </w:r>
      <w:r>
        <w:rPr>
          <w:b/>
          <w:sz w:val="22"/>
          <w:szCs w:val="22"/>
        </w:rPr>
        <w:t>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sz w:val="22"/>
          <w:szCs w:val="22"/>
        </w:rPr>
        <w:tab/>
      </w:r>
      <w:r>
        <w:rPr>
          <w:sz w:val="22"/>
          <w:szCs w:val="22"/>
        </w:rPr>
        <w:t xml:space="preserve">These </w:t>
      </w:r>
      <w:r>
        <w:rPr>
          <w:i/>
          <w:sz w:val="22"/>
          <w:szCs w:val="22"/>
        </w:rPr>
        <w:t xml:space="preserve">Aluminum </w:t>
      </w:r>
      <w:r>
        <w:rPr>
          <w:rFonts w:hint="eastAsia"/>
          <w:i/>
          <w:sz w:val="22"/>
          <w:szCs w:val="22"/>
        </w:rPr>
        <w:t>O</w:t>
      </w:r>
      <w:r>
        <w:rPr>
          <w:i/>
          <w:sz w:val="22"/>
          <w:szCs w:val="22"/>
        </w:rPr>
        <w:t>xide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Aluminum </w:t>
      </w:r>
      <w:r>
        <w:rPr>
          <w:rFonts w:hint="eastAsia"/>
          <w:i/>
          <w:iCs/>
          <w:sz w:val="22"/>
          <w:szCs w:val="22"/>
        </w:rPr>
        <w:t>O</w:t>
      </w:r>
      <w:r>
        <w:rPr>
          <w:i/>
          <w:iCs/>
          <w:sz w:val="22"/>
          <w:szCs w:val="22"/>
        </w:rPr>
        <w:t xml:space="preserve">xide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aluminum oxide</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p>
      <w:pPr>
        <w:tabs>
          <w:tab w:val="left" w:pos="1204"/>
        </w:tabs>
        <w:adjustRightInd w:val="0"/>
        <w:snapToGrid w:val="0"/>
        <w:spacing w:after="312" w:afterLines="100" w:line="276" w:lineRule="auto"/>
        <w:jc w:val="left"/>
        <w:rPr>
          <w:color w:val="000000"/>
          <w:kern w:val="0"/>
          <w:sz w:val="22"/>
          <w:szCs w:val="22"/>
        </w:rPr>
      </w:pPr>
      <w:r>
        <w:rPr>
          <w:b/>
          <w:bCs/>
          <w:color w:val="000000"/>
          <w:sz w:val="22"/>
          <w:szCs w:val="22"/>
        </w:rPr>
        <w:t>Article 2</w:t>
      </w:r>
      <w:r>
        <w:rPr>
          <w:color w:val="000000"/>
          <w:sz w:val="22"/>
          <w:szCs w:val="22"/>
        </w:rPr>
        <w:tab/>
      </w:r>
      <w:r>
        <w:rPr>
          <w:color w:val="000000"/>
          <w:sz w:val="22"/>
          <w:szCs w:val="22"/>
        </w:rPr>
        <w:t xml:space="preserve">These </w:t>
      </w:r>
      <w:r>
        <w:rPr>
          <w:i/>
          <w:sz w:val="22"/>
          <w:szCs w:val="22"/>
        </w:rPr>
        <w:t xml:space="preserve">Aluminum </w:t>
      </w:r>
      <w:r>
        <w:rPr>
          <w:rFonts w:hint="eastAsia"/>
          <w:i/>
          <w:sz w:val="22"/>
          <w:szCs w:val="22"/>
        </w:rPr>
        <w:t>O</w:t>
      </w:r>
      <w:r>
        <w:rPr>
          <w:i/>
          <w:sz w:val="22"/>
          <w:szCs w:val="22"/>
        </w:rPr>
        <w:t>xide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2</w:t>
      </w:r>
      <w:r>
        <w:rPr>
          <w:b/>
          <w:sz w:val="22"/>
          <w:szCs w:val="22"/>
        </w:rPr>
        <w:tab/>
      </w:r>
      <w:r>
        <w:rPr>
          <w:rFonts w:hint="eastAsia"/>
          <w:b/>
          <w:sz w:val="22"/>
          <w:szCs w:val="22"/>
        </w:rPr>
        <w:t>TRADING</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aluminum oxide </w:t>
      </w:r>
      <w:r>
        <w:rPr>
          <w:rFonts w:hint="eastAsia"/>
          <w:sz w:val="22"/>
          <w:szCs w:val="22"/>
        </w:rPr>
        <w:t>futures</w:t>
      </w:r>
      <w:r>
        <w:rPr>
          <w:sz w:val="22"/>
          <w:szCs w:val="22"/>
        </w:rPr>
        <w:t xml:space="preserve"> is </w:t>
      </w:r>
      <w:r>
        <w:rPr>
          <w:rFonts w:hint="eastAsia"/>
          <w:sz w:val="22"/>
          <w:szCs w:val="22"/>
        </w:rPr>
        <w:t>twenty (20)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an </w:t>
      </w:r>
      <w:r>
        <w:rPr>
          <w:sz w:val="22"/>
          <w:szCs w:val="22"/>
        </w:rPr>
        <w:t xml:space="preserve">aluminum oxide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5</w:t>
      </w:r>
      <w:r>
        <w:rPr>
          <w:sz w:val="22"/>
          <w:szCs w:val="22"/>
        </w:rPr>
        <w:tab/>
      </w:r>
      <w:r>
        <w:rPr>
          <w:sz w:val="22"/>
          <w:szCs w:val="22"/>
        </w:rPr>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an </w:t>
      </w:r>
      <w:r>
        <w:rPr>
          <w:sz w:val="22"/>
          <w:szCs w:val="22"/>
        </w:rPr>
        <w:t xml:space="preserve">aluminum oxide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6</w:t>
      </w:r>
      <w:r>
        <w:rPr>
          <w:sz w:val="22"/>
          <w:szCs w:val="22"/>
        </w:rPr>
        <w:tab/>
      </w:r>
      <w:r>
        <w:rPr>
          <w:sz w:val="22"/>
          <w:szCs w:val="22"/>
        </w:rPr>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aluminum oxide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an</w:t>
      </w:r>
      <w:r>
        <w:rPr>
          <w:rFonts w:hint="eastAsia"/>
          <w:sz w:val="22"/>
          <w:szCs w:val="22"/>
        </w:rPr>
        <w:t xml:space="preserve"> </w:t>
      </w:r>
      <w:r>
        <w:rPr>
          <w:sz w:val="22"/>
          <w:szCs w:val="22"/>
        </w:rPr>
        <w:t xml:space="preserve">aluminum oxide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8</w:t>
      </w:r>
      <w:r>
        <w:rPr>
          <w:sz w:val="22"/>
          <w:szCs w:val="22"/>
        </w:rPr>
        <w:tab/>
      </w:r>
      <w:r>
        <w:rPr>
          <w:sz w:val="22"/>
          <w:szCs w:val="22"/>
        </w:rPr>
        <w:t>The last trading day of an aluminum oxide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9</w:t>
      </w:r>
      <w:r>
        <w:rPr>
          <w:sz w:val="22"/>
          <w:szCs w:val="22"/>
        </w:rPr>
        <w:tab/>
      </w:r>
      <w:r>
        <w:rPr>
          <w:sz w:val="22"/>
          <w:szCs w:val="22"/>
        </w:rPr>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aluminum oxide </w:t>
      </w:r>
      <w:r>
        <w:rPr>
          <w:rFonts w:hint="eastAsia"/>
          <w:sz w:val="22"/>
          <w:szCs w:val="22"/>
        </w:rPr>
        <w:t>futures is AO.</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an</w:t>
      </w:r>
      <w:r>
        <w:rPr>
          <w:rFonts w:hint="eastAsia"/>
          <w:sz w:val="22"/>
          <w:szCs w:val="22"/>
        </w:rPr>
        <w:t xml:space="preserve"> </w:t>
      </w:r>
      <w:r>
        <w:rPr>
          <w:sz w:val="22"/>
          <w:szCs w:val="22"/>
        </w:rPr>
        <w:t>aluminum oxide</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11</w:t>
      </w:r>
      <w:r>
        <w:rPr>
          <w:sz w:val="22"/>
          <w:szCs w:val="22"/>
        </w:rPr>
        <w:tab/>
      </w:r>
      <w:r>
        <w:rPr>
          <w:sz w:val="22"/>
          <w:szCs w:val="22"/>
        </w:rPr>
        <w:t>An application for a regular month hedging quota of an aluminum oxide futures contract shall be submitted by the last trading day of the second month before the delivery month of the contract. Late applications will not be accepted by the Exchange.</w:t>
      </w:r>
    </w:p>
    <w:p>
      <w:pPr>
        <w:tabs>
          <w:tab w:val="left" w:pos="1204"/>
        </w:tabs>
        <w:adjustRightInd w:val="0"/>
        <w:snapToGrid w:val="0"/>
        <w:spacing w:after="312" w:afterLines="100" w:line="276" w:lineRule="auto"/>
        <w:jc w:val="left"/>
        <w:rPr>
          <w:sz w:val="22"/>
          <w:szCs w:val="22"/>
        </w:rPr>
      </w:pPr>
      <w:r>
        <w:rPr>
          <w:sz w:val="22"/>
          <w:szCs w:val="22"/>
        </w:rPr>
        <w:t>An application for a nearby delivery month hedging quota of an aluminum oxide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an aluminum oxide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12</w:t>
      </w:r>
      <w:r>
        <w:rPr>
          <w:sz w:val="22"/>
          <w:szCs w:val="22"/>
        </w:rPr>
        <w:tab/>
      </w:r>
      <w:r>
        <w:rPr>
          <w:sz w:val="22"/>
          <w:szCs w:val="22"/>
        </w:rPr>
        <w:t xml:space="preserve">Hedging quota of an </w:t>
      </w:r>
      <w:r>
        <w:rPr>
          <w:rFonts w:hint="eastAsia"/>
          <w:sz w:val="22"/>
          <w:szCs w:val="22"/>
        </w:rPr>
        <w:t>aluminum oxide</w:t>
      </w:r>
      <w:r>
        <w:rPr>
          <w:sz w:val="22"/>
          <w:szCs w:val="22"/>
        </w:rPr>
        <w:t xml:space="preserve"> futures contract shall no longer be used in a revolving manner starting from the first trading day of the delivery month.</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pPr>
        <w:widowControl/>
        <w:tabs>
          <w:tab w:val="left" w:pos="1560"/>
        </w:tabs>
        <w:adjustRightInd w:val="0"/>
        <w:snapToGrid w:val="0"/>
        <w:spacing w:before="468" w:beforeLines="150" w:after="312" w:afterLines="100" w:line="276" w:lineRule="auto"/>
        <w:jc w:val="center"/>
        <w:rPr>
          <w:b/>
          <w:sz w:val="22"/>
          <w:szCs w:val="22"/>
        </w:rPr>
      </w:pPr>
      <w:r>
        <w:rPr>
          <w:rFonts w:hint="eastAsia"/>
          <w:b/>
          <w:sz w:val="22"/>
          <w:szCs w:val="22"/>
        </w:rPr>
        <w:t>SECTION 1 GENERAL PROVISIONS</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An aluminum oxide futures contract </w:t>
      </w:r>
      <w:r>
        <w:rPr>
          <w:sz w:val="22"/>
          <w:szCs w:val="22"/>
        </w:rPr>
        <w:t>may be physically delivered through an Exchange of Futures for Physicals (“EFP”)</w:t>
      </w:r>
      <w:r>
        <w:rPr>
          <w:rFonts w:hint="eastAsia"/>
          <w:sz w:val="22"/>
          <w:szCs w:val="22"/>
        </w:rPr>
        <w:t>, a delivery warehouse, or a delivery factory.</w:t>
      </w:r>
    </w:p>
    <w:p>
      <w:pPr>
        <w:tabs>
          <w:tab w:val="left" w:pos="1204"/>
        </w:tabs>
        <w:adjustRightInd w:val="0"/>
        <w:snapToGrid w:val="0"/>
        <w:spacing w:after="312" w:afterLines="100" w:line="276" w:lineRule="auto"/>
        <w:jc w:val="left"/>
        <w:rPr>
          <w:sz w:val="22"/>
          <w:szCs w:val="22"/>
        </w:rPr>
      </w:pPr>
      <w:r>
        <w:rPr>
          <w:rFonts w:hint="eastAsia"/>
          <w:sz w:val="22"/>
          <w:szCs w:val="22"/>
        </w:rPr>
        <w:t>Aluminum oxide</w:t>
      </w:r>
      <w:r>
        <w:rPr>
          <w:sz w:val="22"/>
          <w:szCs w:val="22"/>
        </w:rPr>
        <w:t xml:space="preserve"> futures </w:t>
      </w:r>
      <w:r>
        <w:rPr>
          <w:rFonts w:hint="eastAsia"/>
          <w:sz w:val="22"/>
          <w:szCs w:val="22"/>
        </w:rPr>
        <w:t>adopt</w:t>
      </w:r>
      <w:r>
        <w:rPr>
          <w:sz w:val="22"/>
          <w:szCs w:val="22"/>
        </w:rPr>
        <w:t xml:space="preserve"> duty-paid delivery</w:t>
      </w:r>
      <w:r>
        <w:rPr>
          <w:rFonts w:hint="eastAsia"/>
          <w:sz w:val="22"/>
          <w:szCs w:val="22"/>
        </w:rPr>
        <w:t>.</w:t>
      </w:r>
    </w:p>
    <w:p>
      <w:pPr>
        <w:tabs>
          <w:tab w:val="left" w:pos="1204"/>
        </w:tabs>
        <w:adjustRightInd w:val="0"/>
        <w:snapToGrid w:val="0"/>
        <w:spacing w:after="312" w:afterLines="100"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Aluminum </w:t>
      </w:r>
      <w:r>
        <w:rPr>
          <w:rFonts w:hint="eastAsia"/>
          <w:i/>
          <w:iCs/>
          <w:sz w:val="22"/>
          <w:szCs w:val="22"/>
        </w:rPr>
        <w:t>O</w:t>
      </w:r>
      <w:r>
        <w:rPr>
          <w:i/>
          <w:iCs/>
          <w:sz w:val="22"/>
          <w:szCs w:val="22"/>
        </w:rPr>
        <w:t>xide Futures Contract</w:t>
      </w:r>
      <w:r>
        <w:rPr>
          <w:rFonts w:hint="eastAsia"/>
          <w:i/>
          <w:iCs/>
          <w:sz w:val="22"/>
          <w:szCs w:val="22"/>
        </w:rPr>
        <w:t xml:space="preserve"> Specifications</w:t>
      </w:r>
      <w:r>
        <w:rPr>
          <w:sz w:val="22"/>
          <w:szCs w:val="22"/>
        </w:rPr>
        <w:t>.</w:t>
      </w:r>
    </w:p>
    <w:p>
      <w:pPr>
        <w:tabs>
          <w:tab w:val="left" w:pos="1276"/>
        </w:tabs>
        <w:adjustRightInd w:val="0"/>
        <w:snapToGrid w:val="0"/>
        <w:spacing w:after="312" w:afterLines="100" w:line="276" w:lineRule="auto"/>
        <w:jc w:val="left"/>
        <w:rPr>
          <w:sz w:val="22"/>
        </w:rPr>
      </w:pPr>
      <w:r>
        <w:rPr>
          <w:b/>
          <w:bCs/>
          <w:sz w:val="22"/>
          <w:szCs w:val="22"/>
        </w:rPr>
        <w:t>Article 1</w:t>
      </w:r>
      <w:r>
        <w:rPr>
          <w:rFonts w:hint="eastAsia"/>
          <w:b/>
          <w:bCs/>
          <w:sz w:val="22"/>
          <w:szCs w:val="22"/>
        </w:rPr>
        <w:t>5</w:t>
      </w:r>
      <w:r>
        <w:rPr>
          <w:b/>
          <w:bCs/>
          <w:sz w:val="22"/>
          <w:szCs w:val="22"/>
        </w:rPr>
        <w:tab/>
      </w:r>
      <w:r>
        <w:rPr>
          <w:sz w:val="22"/>
        </w:rPr>
        <w:t>Deliverable commodity</w:t>
      </w:r>
    </w:p>
    <w:p>
      <w:pPr>
        <w:adjustRightInd w:val="0"/>
        <w:snapToGrid w:val="0"/>
        <w:spacing w:after="312" w:afterLines="100" w:line="276" w:lineRule="auto"/>
        <w:jc w:val="left"/>
        <w:rPr>
          <w:sz w:val="22"/>
        </w:rPr>
      </w:pPr>
      <w:r>
        <w:rPr>
          <w:sz w:val="22"/>
        </w:rPr>
        <w:t xml:space="preserve">The deliverable </w:t>
      </w:r>
      <w:r>
        <w:rPr>
          <w:rFonts w:hint="eastAsia"/>
          <w:sz w:val="22"/>
        </w:rPr>
        <w:t>aluminum oxide</w:t>
      </w:r>
      <w:r>
        <w:rPr>
          <w:sz w:val="22"/>
        </w:rPr>
        <w:t xml:space="preserve"> shall be of a registered brand approved by </w:t>
      </w:r>
      <w:r>
        <w:rPr>
          <w:rFonts w:hint="eastAsia"/>
          <w:sz w:val="22"/>
        </w:rPr>
        <w:t>the Exchange or be produced by</w:t>
      </w:r>
      <w:r>
        <w:rPr>
          <w:sz w:val="22"/>
        </w:rPr>
        <w:t xml:space="preserve"> a manufacturer </w:t>
      </w:r>
      <w:r>
        <w:rPr>
          <w:rFonts w:hint="eastAsia"/>
          <w:sz w:val="22"/>
        </w:rPr>
        <w:t>recognized by</w:t>
      </w:r>
      <w:r>
        <w:rPr>
          <w:sz w:val="22"/>
        </w:rPr>
        <w:t xml:space="preserve"> </w:t>
      </w:r>
      <w:r>
        <w:rPr>
          <w:rFonts w:hint="eastAsia"/>
          <w:sz w:val="22"/>
        </w:rPr>
        <w:t xml:space="preserve">the </w:t>
      </w:r>
      <w:r>
        <w:rPr>
          <w:sz w:val="22"/>
        </w:rPr>
        <w:t>Exchange</w:t>
      </w:r>
      <w:r>
        <w:rPr>
          <w:rFonts w:hint="eastAsia"/>
          <w:sz w:val="22"/>
        </w:rPr>
        <w:t xml:space="preserve"> (to be </w:t>
      </w:r>
      <w:r>
        <w:rPr>
          <w:sz w:val="22"/>
        </w:rPr>
        <w:t>separately</w:t>
      </w:r>
      <w:r>
        <w:rPr>
          <w:rFonts w:hint="eastAsia"/>
          <w:sz w:val="22"/>
        </w:rPr>
        <w:t xml:space="preserve"> prescribed</w:t>
      </w:r>
      <w:r>
        <w:rPr>
          <w:sz w:val="22"/>
        </w:rPr>
        <w:t xml:space="preserve"> and </w:t>
      </w:r>
      <w:r>
        <w:rPr>
          <w:rFonts w:hint="eastAsia"/>
          <w:sz w:val="22"/>
        </w:rPr>
        <w:t>announced by the Exchange)</w:t>
      </w:r>
      <w:r>
        <w:rPr>
          <w:sz w:val="22"/>
        </w:rPr>
        <w:t>.</w:t>
      </w:r>
    </w:p>
    <w:p>
      <w:pPr>
        <w:tabs>
          <w:tab w:val="left" w:pos="1204"/>
        </w:tabs>
        <w:adjustRightInd w:val="0"/>
        <w:snapToGrid w:val="0"/>
        <w:spacing w:after="312" w:afterLines="100" w:line="276" w:lineRule="auto"/>
        <w:jc w:val="left"/>
        <w:rPr>
          <w:b/>
          <w:bCs/>
          <w:sz w:val="22"/>
          <w:szCs w:val="22"/>
        </w:rPr>
      </w:pPr>
      <w:r>
        <w:rPr>
          <w:sz w:val="22"/>
        </w:rPr>
        <w:t xml:space="preserve">The deliverable </w:t>
      </w:r>
      <w:r>
        <w:rPr>
          <w:rFonts w:hint="eastAsia"/>
          <w:sz w:val="22"/>
        </w:rPr>
        <w:t>aluminum oxide</w:t>
      </w:r>
      <w:r>
        <w:rPr>
          <w:sz w:val="22"/>
        </w:rPr>
        <w:t xml:space="preserve"> </w:t>
      </w:r>
      <w:r>
        <w:rPr>
          <w:rFonts w:hint="eastAsia"/>
          <w:sz w:val="22"/>
        </w:rPr>
        <w:t xml:space="preserve">shall conform to the specifications of Grade (designation) </w:t>
      </w:r>
      <w:r>
        <w:rPr>
          <w:sz w:val="22"/>
        </w:rPr>
        <w:t>AO-1</w:t>
      </w:r>
      <w:r>
        <w:rPr>
          <w:rFonts w:hint="eastAsia"/>
          <w:sz w:val="22"/>
        </w:rPr>
        <w:t xml:space="preserve"> or </w:t>
      </w:r>
      <w:r>
        <w:rPr>
          <w:sz w:val="22"/>
        </w:rPr>
        <w:t>AO-2</w:t>
      </w:r>
      <w:r>
        <w:rPr>
          <w:rFonts w:hint="eastAsia"/>
          <w:sz w:val="22"/>
        </w:rPr>
        <w:t xml:space="preserve"> under </w:t>
      </w:r>
      <w:r>
        <w:rPr>
          <w:sz w:val="22"/>
        </w:rPr>
        <w:t xml:space="preserve">National Standard GB/T 24487-2022 with regard to </w:t>
      </w:r>
      <w:r>
        <w:rPr>
          <w:rFonts w:hint="eastAsia"/>
          <w:sz w:val="22"/>
        </w:rPr>
        <w:t>main chem</w:t>
      </w:r>
      <w:r>
        <w:rPr>
          <w:sz w:val="22"/>
        </w:rPr>
        <w:t>ical components and physical properties</w:t>
      </w:r>
      <w:r>
        <w:rPr>
          <w:rFonts w:hint="eastAsia"/>
          <w:sz w:val="22"/>
        </w:rPr>
        <w:t>.</w:t>
      </w:r>
    </w:p>
    <w:p>
      <w:pPr>
        <w:adjustRightInd w:val="0"/>
        <w:snapToGrid w:val="0"/>
        <w:spacing w:after="312" w:afterLines="100" w:line="276" w:lineRule="auto"/>
        <w:jc w:val="left"/>
        <w:rPr>
          <w:sz w:val="22"/>
        </w:rPr>
      </w:pPr>
      <w:r>
        <w:rPr>
          <w:b/>
          <w:bCs/>
          <w:sz w:val="22"/>
          <w:szCs w:val="22"/>
        </w:rPr>
        <w:t>Article 1</w:t>
      </w:r>
      <w:r>
        <w:rPr>
          <w:rFonts w:hint="eastAsia"/>
          <w:b/>
          <w:bCs/>
          <w:sz w:val="22"/>
          <w:szCs w:val="22"/>
        </w:rPr>
        <w:t>6</w:t>
      </w:r>
      <w:r>
        <w:rPr>
          <w:b/>
          <w:bCs/>
          <w:sz w:val="22"/>
          <w:szCs w:val="22"/>
        </w:rPr>
        <w:tab/>
      </w:r>
      <w:r>
        <w:rPr>
          <w:rFonts w:hint="eastAsia"/>
          <w:sz w:val="22"/>
        </w:rPr>
        <w:t>Specifications</w:t>
      </w:r>
    </w:p>
    <w:p>
      <w:pPr>
        <w:adjustRightInd w:val="0"/>
        <w:snapToGrid w:val="0"/>
        <w:spacing w:after="312" w:afterLines="100" w:line="276" w:lineRule="auto"/>
        <w:jc w:val="left"/>
        <w:rPr>
          <w:sz w:val="22"/>
        </w:rPr>
      </w:pPr>
      <w:r>
        <w:rPr>
          <w:rFonts w:hint="eastAsia"/>
          <w:sz w:val="22"/>
        </w:rPr>
        <w:t>Domestic aluminum oxide</w:t>
      </w:r>
      <w:r>
        <w:rPr>
          <w:sz w:val="22"/>
        </w:rPr>
        <w:t xml:space="preserve"> underlying each </w:t>
      </w:r>
      <w:r>
        <w:rPr>
          <w:rFonts w:hint="eastAsia"/>
          <w:sz w:val="22"/>
        </w:rPr>
        <w:t xml:space="preserve">standard </w:t>
      </w:r>
      <w:r>
        <w:rPr>
          <w:sz w:val="22"/>
        </w:rPr>
        <w:t>warrant shall consist of commodity of the same manufacturer, registered trademark, grade (designation),</w:t>
      </w:r>
      <w:r>
        <w:rPr>
          <w:rFonts w:hint="eastAsia"/>
          <w:sz w:val="22"/>
        </w:rPr>
        <w:t xml:space="preserve"> and </w:t>
      </w:r>
      <w:r>
        <w:rPr>
          <w:sz w:val="22"/>
        </w:rPr>
        <w:t>packaging specification</w:t>
      </w:r>
      <w:r>
        <w:rPr>
          <w:rFonts w:hint="eastAsia"/>
          <w:sz w:val="22"/>
        </w:rPr>
        <w:t xml:space="preserve">s, and </w:t>
      </w:r>
      <w:r>
        <w:rPr>
          <w:sz w:val="22"/>
        </w:rPr>
        <w:t xml:space="preserve">have </w:t>
      </w:r>
      <w:r>
        <w:rPr>
          <w:rFonts w:hint="eastAsia"/>
          <w:sz w:val="22"/>
        </w:rPr>
        <w:t>their</w:t>
      </w:r>
      <w:r>
        <w:rPr>
          <w:sz w:val="22"/>
        </w:rPr>
        <w:t xml:space="preserve"> date</w:t>
      </w:r>
      <w:r>
        <w:rPr>
          <w:rFonts w:hint="eastAsia"/>
          <w:sz w:val="22"/>
        </w:rPr>
        <w:t>s</w:t>
      </w:r>
      <w:r>
        <w:rPr>
          <w:sz w:val="22"/>
        </w:rPr>
        <w:t xml:space="preserve"> of </w:t>
      </w:r>
      <w:r>
        <w:rPr>
          <w:rFonts w:hint="eastAsia"/>
          <w:sz w:val="22"/>
        </w:rPr>
        <w:t>production</w:t>
      </w:r>
      <w:r>
        <w:rPr>
          <w:sz w:val="22"/>
        </w:rPr>
        <w:t xml:space="preserve"> </w:t>
      </w:r>
      <w:r>
        <w:rPr>
          <w:rFonts w:hint="eastAsia"/>
          <w:sz w:val="22"/>
        </w:rPr>
        <w:t>spanning</w:t>
      </w:r>
      <w:r>
        <w:rPr>
          <w:sz w:val="22"/>
        </w:rPr>
        <w:t xml:space="preserve"> no more than </w:t>
      </w:r>
      <w:r>
        <w:rPr>
          <w:rFonts w:hint="eastAsia"/>
          <w:sz w:val="22"/>
        </w:rPr>
        <w:t>fifteen (15)</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r>
        <w:rPr>
          <w:rFonts w:hint="eastAsia"/>
          <w:sz w:val="22"/>
        </w:rPr>
        <w:t>.</w:t>
      </w:r>
      <w:r>
        <w:rPr>
          <w:sz w:val="22"/>
        </w:rPr>
        <w:t xml:space="preserve"> </w:t>
      </w:r>
    </w:p>
    <w:p>
      <w:pPr>
        <w:tabs>
          <w:tab w:val="left" w:pos="1204"/>
        </w:tabs>
        <w:adjustRightInd w:val="0"/>
        <w:snapToGrid w:val="0"/>
        <w:spacing w:after="312" w:afterLines="100" w:line="276" w:lineRule="auto"/>
        <w:jc w:val="left"/>
        <w:rPr>
          <w:sz w:val="22"/>
        </w:rPr>
      </w:pPr>
      <w:r>
        <w:rPr>
          <w:rFonts w:hint="eastAsia"/>
          <w:sz w:val="22"/>
        </w:rPr>
        <w:t>Imported aluminum oxide</w:t>
      </w:r>
      <w:r>
        <w:rPr>
          <w:sz w:val="22"/>
        </w:rPr>
        <w:t xml:space="preserve"> underlying each </w:t>
      </w:r>
      <w:r>
        <w:rPr>
          <w:rFonts w:hint="eastAsia"/>
          <w:sz w:val="22"/>
        </w:rPr>
        <w:t xml:space="preserve">standard </w:t>
      </w:r>
      <w:r>
        <w:rPr>
          <w:sz w:val="22"/>
        </w:rPr>
        <w:t>warrant shall consist of commodity of the same manufacturer, grade (designation),</w:t>
      </w:r>
      <w:r>
        <w:rPr>
          <w:rFonts w:hint="eastAsia"/>
          <w:sz w:val="22"/>
        </w:rPr>
        <w:t xml:space="preserve"> production date, and </w:t>
      </w:r>
      <w:r>
        <w:rPr>
          <w:sz w:val="22"/>
        </w:rPr>
        <w:t>packaging specification</w:t>
      </w:r>
      <w:r>
        <w:rPr>
          <w:rFonts w:hint="eastAsia"/>
          <w:sz w:val="22"/>
        </w:rPr>
        <w:t>s.</w:t>
      </w:r>
    </w:p>
    <w:p>
      <w:pPr>
        <w:tabs>
          <w:tab w:val="left" w:pos="1204"/>
        </w:tabs>
        <w:adjustRightInd w:val="0"/>
        <w:snapToGrid w:val="0"/>
        <w:spacing w:after="312" w:afterLines="100" w:line="276" w:lineRule="auto"/>
        <w:jc w:val="left"/>
        <w:rPr>
          <w:b/>
          <w:bCs/>
          <w:sz w:val="22"/>
          <w:szCs w:val="22"/>
        </w:rPr>
      </w:pPr>
      <w:r>
        <w:rPr>
          <w:sz w:val="22"/>
        </w:rPr>
        <w:t>T</w:t>
      </w:r>
      <w:r>
        <w:rPr>
          <w:rFonts w:hint="eastAsia"/>
          <w:sz w:val="22"/>
        </w:rPr>
        <w:t xml:space="preserve">he production date of domestic aluminum oxide refers to the </w:t>
      </w:r>
      <w:r>
        <w:rPr>
          <w:sz w:val="22"/>
        </w:rPr>
        <w:t xml:space="preserve">packaging </w:t>
      </w:r>
      <w:r>
        <w:rPr>
          <w:rFonts w:hint="eastAsia"/>
          <w:sz w:val="22"/>
        </w:rPr>
        <w:t>date, and that of imported aluminum oxide refers to the import date indicated on the customs</w:t>
      </w:r>
      <w:r>
        <w:rPr>
          <w:sz w:val="22"/>
        </w:rPr>
        <w:t xml:space="preserve"> declaration </w:t>
      </w:r>
      <w:r>
        <w:rPr>
          <w:rFonts w:hint="eastAsia"/>
          <w:sz w:val="22"/>
        </w:rPr>
        <w:t>form.</w:t>
      </w:r>
    </w:p>
    <w:p>
      <w:pPr>
        <w:tabs>
          <w:tab w:val="left" w:pos="1276"/>
        </w:tabs>
        <w:adjustRightInd w:val="0"/>
        <w:snapToGrid w:val="0"/>
        <w:spacing w:after="312" w:afterLines="100" w:line="276" w:lineRule="auto"/>
        <w:jc w:val="left"/>
        <w:rPr>
          <w:sz w:val="22"/>
        </w:rPr>
      </w:pPr>
      <w:r>
        <w:rPr>
          <w:b/>
          <w:bCs/>
          <w:sz w:val="22"/>
          <w:szCs w:val="22"/>
        </w:rPr>
        <w:t>Article 1</w:t>
      </w:r>
      <w:r>
        <w:rPr>
          <w:rFonts w:hint="eastAsia"/>
          <w:b/>
          <w:bCs/>
          <w:sz w:val="22"/>
          <w:szCs w:val="22"/>
        </w:rPr>
        <w:t>7</w:t>
      </w:r>
      <w:r>
        <w:rPr>
          <w:b/>
          <w:bCs/>
          <w:sz w:val="22"/>
          <w:szCs w:val="22"/>
        </w:rPr>
        <w:tab/>
      </w:r>
      <w:r>
        <w:rPr>
          <w:sz w:val="22"/>
        </w:rPr>
        <w:t>Packaging</w:t>
      </w:r>
    </w:p>
    <w:p>
      <w:pPr>
        <w:tabs>
          <w:tab w:val="left" w:pos="709"/>
        </w:tabs>
        <w:adjustRightInd w:val="0"/>
        <w:snapToGrid w:val="0"/>
        <w:spacing w:after="312" w:afterLines="100" w:line="276" w:lineRule="auto"/>
        <w:jc w:val="left"/>
        <w:rPr>
          <w:sz w:val="22"/>
        </w:rPr>
      </w:pPr>
      <w:r>
        <w:rPr>
          <w:sz w:val="22"/>
        </w:rPr>
        <w:t>The packaging</w:t>
      </w:r>
      <w:r>
        <w:rPr>
          <w:rFonts w:hint="eastAsia"/>
          <w:sz w:val="22"/>
        </w:rPr>
        <w:t xml:space="preserve"> </w:t>
      </w:r>
      <w:r>
        <w:rPr>
          <w:sz w:val="22"/>
        </w:rPr>
        <w:t>of deliver</w:t>
      </w:r>
      <w:r>
        <w:rPr>
          <w:rFonts w:hint="eastAsia"/>
          <w:sz w:val="22"/>
        </w:rPr>
        <w:t>able</w:t>
      </w:r>
      <w:r>
        <w:rPr>
          <w:sz w:val="22"/>
        </w:rPr>
        <w:t xml:space="preserve"> </w:t>
      </w:r>
      <w:r>
        <w:rPr>
          <w:rFonts w:hint="eastAsia"/>
          <w:sz w:val="22"/>
        </w:rPr>
        <w:t>aluminum oxide</w:t>
      </w:r>
      <w:r>
        <w:rPr>
          <w:sz w:val="22"/>
        </w:rPr>
        <w:t xml:space="preserve"> shall conform to the specifications of </w:t>
      </w:r>
      <w:r>
        <w:rPr>
          <w:rFonts w:hint="eastAsia"/>
          <w:i/>
          <w:sz w:val="22"/>
        </w:rPr>
        <w:t xml:space="preserve">the Rules of Shanghai Futures Exchange </w:t>
      </w:r>
      <w:r>
        <w:rPr>
          <w:i/>
          <w:sz w:val="22"/>
        </w:rPr>
        <w:t>on</w:t>
      </w:r>
      <w:r>
        <w:rPr>
          <w:rFonts w:hint="eastAsia"/>
          <w:i/>
          <w:sz w:val="22"/>
        </w:rPr>
        <w:t xml:space="preserve"> the Registration and Recognition of Deliverable Aluminum Oxide</w:t>
      </w:r>
      <w:r>
        <w:rPr>
          <w:sz w:val="22"/>
        </w:rPr>
        <w:t>.</w:t>
      </w:r>
    </w:p>
    <w:p>
      <w:pPr>
        <w:tabs>
          <w:tab w:val="left" w:pos="1204"/>
        </w:tabs>
        <w:adjustRightInd w:val="0"/>
        <w:snapToGrid w:val="0"/>
        <w:spacing w:after="312" w:afterLines="100" w:line="276" w:lineRule="auto"/>
        <w:jc w:val="left"/>
        <w:rPr>
          <w:b/>
          <w:bCs/>
          <w:sz w:val="22"/>
          <w:szCs w:val="22"/>
        </w:rPr>
      </w:pPr>
      <w:r>
        <w:rPr>
          <w:sz w:val="22"/>
        </w:rPr>
        <w:t>E</w:t>
      </w:r>
      <w:r>
        <w:rPr>
          <w:rFonts w:hint="eastAsia"/>
          <w:sz w:val="22"/>
        </w:rPr>
        <w:t xml:space="preserve">ach pack of </w:t>
      </w:r>
      <w:r>
        <w:rPr>
          <w:sz w:val="22"/>
        </w:rPr>
        <w:t>deliver</w:t>
      </w:r>
      <w:r>
        <w:rPr>
          <w:rFonts w:hint="eastAsia"/>
          <w:sz w:val="22"/>
        </w:rPr>
        <w:t>able</w:t>
      </w:r>
      <w:r>
        <w:rPr>
          <w:sz w:val="22"/>
        </w:rPr>
        <w:t xml:space="preserve"> </w:t>
      </w:r>
      <w:r>
        <w:rPr>
          <w:rFonts w:hint="eastAsia"/>
          <w:sz w:val="22"/>
        </w:rPr>
        <w:t>aluminum oxide shall have a net weight</w:t>
      </w:r>
      <w:r>
        <w:rPr>
          <w:sz w:val="22"/>
        </w:rPr>
        <w:t xml:space="preserve"> </w:t>
      </w:r>
      <w:r>
        <w:rPr>
          <w:rFonts w:hint="eastAsia"/>
          <w:sz w:val="22"/>
        </w:rPr>
        <w:t xml:space="preserve">of one </w:t>
      </w:r>
      <w:r>
        <w:rPr>
          <w:sz w:val="22"/>
        </w:rPr>
        <w:t>and five-tenths (1.5) metric tons</w:t>
      </w:r>
      <w:r>
        <w:rPr>
          <w:rFonts w:hint="eastAsia"/>
          <w:sz w:val="22"/>
        </w:rPr>
        <w:t xml:space="preserve"> plus or minus </w:t>
      </w:r>
      <w:r>
        <w:rPr>
          <w:sz w:val="22"/>
        </w:rPr>
        <w:t xml:space="preserve">fifteen hundredths </w:t>
      </w:r>
      <w:r>
        <w:rPr>
          <w:rFonts w:hint="eastAsia"/>
          <w:sz w:val="22"/>
        </w:rPr>
        <w:t>(</w:t>
      </w:r>
      <w:r>
        <w:rPr>
          <w:sz w:val="22"/>
        </w:rPr>
        <w:t>±0.15</w:t>
      </w:r>
      <w:r>
        <w:rPr>
          <w:rFonts w:hint="eastAsia"/>
          <w:sz w:val="22"/>
        </w:rPr>
        <w:t xml:space="preserve">) </w:t>
      </w:r>
      <w:r>
        <w:rPr>
          <w:sz w:val="22"/>
        </w:rPr>
        <w:t>metric tons</w:t>
      </w:r>
      <w:r>
        <w:rPr>
          <w:rFonts w:hint="eastAsia"/>
          <w:sz w:val="22"/>
        </w:rPr>
        <w:t>.</w:t>
      </w:r>
    </w:p>
    <w:p>
      <w:pPr>
        <w:tabs>
          <w:tab w:val="left" w:pos="1276"/>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18</w:t>
      </w:r>
      <w:r>
        <w:rPr>
          <w:b/>
          <w:bCs/>
          <w:sz w:val="22"/>
          <w:szCs w:val="22"/>
        </w:rPr>
        <w:tab/>
      </w:r>
      <w:r>
        <w:rPr>
          <w:sz w:val="22"/>
        </w:rPr>
        <w:t xml:space="preserve">Required documentation for deliverable </w:t>
      </w:r>
      <w:r>
        <w:rPr>
          <w:rFonts w:hint="eastAsia"/>
          <w:sz w:val="22"/>
        </w:rPr>
        <w:t>commodity</w:t>
      </w:r>
    </w:p>
    <w:p>
      <w:pPr>
        <w:tabs>
          <w:tab w:val="left" w:pos="709"/>
        </w:tabs>
        <w:adjustRightInd w:val="0"/>
        <w:snapToGrid w:val="0"/>
        <w:spacing w:after="312" w:afterLines="100" w:line="276" w:lineRule="auto"/>
        <w:jc w:val="left"/>
        <w:rPr>
          <w:sz w:val="22"/>
        </w:rPr>
      </w:pPr>
      <w:r>
        <w:rPr>
          <w:sz w:val="22"/>
        </w:rPr>
        <w:t>(i)</w:t>
      </w:r>
      <w:r>
        <w:rPr>
          <w:sz w:val="22"/>
        </w:rPr>
        <w:tab/>
      </w:r>
      <w:r>
        <w:rPr>
          <w:sz w:val="22"/>
        </w:rPr>
        <w:t>Domestic commodity</w:t>
      </w:r>
      <w:r>
        <w:rPr>
          <w:rFonts w:hint="eastAsia"/>
          <w:sz w:val="22"/>
        </w:rPr>
        <w:t>: t</w:t>
      </w:r>
      <w:r>
        <w:rPr>
          <w:sz w:val="22"/>
        </w:rPr>
        <w:t>he certificate of quality issued by the registered manufacturer shall be provided</w:t>
      </w:r>
      <w:r>
        <w:rPr>
          <w:rFonts w:hint="eastAsia"/>
          <w:sz w:val="22"/>
        </w:rPr>
        <w:t>.</w:t>
      </w:r>
    </w:p>
    <w:p>
      <w:pPr>
        <w:tabs>
          <w:tab w:val="left" w:pos="709"/>
        </w:tabs>
        <w:adjustRightInd w:val="0"/>
        <w:snapToGrid w:val="0"/>
        <w:spacing w:after="312" w:afterLines="100" w:line="276" w:lineRule="auto"/>
        <w:jc w:val="left"/>
        <w:rPr>
          <w:sz w:val="22"/>
        </w:rPr>
      </w:pPr>
      <w:r>
        <w:rPr>
          <w:sz w:val="22"/>
        </w:rPr>
        <w:t>(ii)</w:t>
      </w:r>
      <w:r>
        <w:rPr>
          <w:sz w:val="22"/>
        </w:rPr>
        <w:tab/>
      </w:r>
      <w:r>
        <w:rPr>
          <w:rFonts w:hint="eastAsia"/>
          <w:sz w:val="22"/>
        </w:rPr>
        <w:t>I</w:t>
      </w:r>
      <w:r>
        <w:rPr>
          <w:sz w:val="22"/>
        </w:rPr>
        <w:t>mported</w:t>
      </w:r>
      <w:r>
        <w:rPr>
          <w:rFonts w:hint="eastAsia"/>
          <w:sz w:val="22"/>
        </w:rPr>
        <w:t xml:space="preserve"> </w:t>
      </w:r>
      <w:r>
        <w:rPr>
          <w:sz w:val="22"/>
        </w:rPr>
        <w:t>commodity</w:t>
      </w:r>
      <w:r>
        <w:rPr>
          <w:rFonts w:hint="eastAsia"/>
          <w:sz w:val="22"/>
        </w:rPr>
        <w:t>:</w:t>
      </w:r>
      <w:r>
        <w:rPr>
          <w:sz w:val="22"/>
        </w:rPr>
        <w:t xml:space="preserve"> the certificate of inspection issued by a Designated Inspection Agency, certificate of origin, the customs declaration form, </w:t>
      </w:r>
      <w:r>
        <w:rPr>
          <w:rFonts w:hint="eastAsia"/>
          <w:sz w:val="22"/>
        </w:rPr>
        <w:t xml:space="preserve">and certificate of VAT withholding by the </w:t>
      </w:r>
      <w:r>
        <w:rPr>
          <w:sz w:val="22"/>
        </w:rPr>
        <w:t xml:space="preserve">customs. These documents are </w:t>
      </w:r>
      <w:r>
        <w:rPr>
          <w:rFonts w:hint="eastAsia"/>
          <w:sz w:val="22"/>
        </w:rPr>
        <w:t xml:space="preserve">deemed </w:t>
      </w:r>
      <w:r>
        <w:rPr>
          <w:sz w:val="22"/>
        </w:rPr>
        <w:t>valid only after being verified by the Exchange</w:t>
      </w:r>
      <w:r>
        <w:rPr>
          <w:rFonts w:hint="eastAsia"/>
          <w:sz w:val="22"/>
        </w:rPr>
        <w:t>.</w:t>
      </w:r>
    </w:p>
    <w:p>
      <w:pPr>
        <w:tabs>
          <w:tab w:val="left" w:pos="1204"/>
        </w:tabs>
        <w:adjustRightInd w:val="0"/>
        <w:snapToGrid w:val="0"/>
        <w:spacing w:after="312" w:afterLines="100" w:line="276" w:lineRule="auto"/>
        <w:jc w:val="left"/>
        <w:rPr>
          <w:b/>
          <w:bCs/>
          <w:sz w:val="22"/>
          <w:szCs w:val="22"/>
        </w:rPr>
      </w:pPr>
      <w:r>
        <w:rPr>
          <w:sz w:val="22"/>
        </w:rPr>
        <w:t xml:space="preserve">If there has been any change to national policies on taxation, commodity inspection, or other relevant matters, the revised policies shall prevail. Under such circumstance, the Exchange will separately announce the revised requirements for the documentation </w:t>
      </w:r>
      <w:r>
        <w:rPr>
          <w:rFonts w:hint="eastAsia"/>
          <w:sz w:val="22"/>
        </w:rPr>
        <w:t>of</w:t>
      </w:r>
      <w:r>
        <w:rPr>
          <w:sz w:val="22"/>
        </w:rPr>
        <w:t xml:space="preserve"> relevant imported products.</w:t>
      </w:r>
    </w:p>
    <w:p>
      <w:pPr>
        <w:tabs>
          <w:tab w:val="left" w:pos="1276"/>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19</w:t>
      </w:r>
      <w:r>
        <w:rPr>
          <w:b/>
          <w:bCs/>
          <w:sz w:val="22"/>
          <w:szCs w:val="22"/>
        </w:rPr>
        <w:tab/>
      </w:r>
      <w:r>
        <w:rPr>
          <w:sz w:val="22"/>
        </w:rPr>
        <w:t xml:space="preserve">Measuring </w:t>
      </w:r>
      <w:r>
        <w:rPr>
          <w:rFonts w:hint="eastAsia"/>
          <w:sz w:val="22"/>
        </w:rPr>
        <w:t>and</w:t>
      </w:r>
      <w:r>
        <w:rPr>
          <w:sz w:val="22"/>
        </w:rPr>
        <w:t xml:space="preserve"> tolerance</w:t>
      </w:r>
    </w:p>
    <w:p>
      <w:pPr>
        <w:tabs>
          <w:tab w:val="left" w:pos="1204"/>
        </w:tabs>
        <w:adjustRightInd w:val="0"/>
        <w:snapToGrid w:val="0"/>
        <w:spacing w:after="312" w:afterLines="100" w:line="276" w:lineRule="auto"/>
        <w:jc w:val="left"/>
        <w:rPr>
          <w:b/>
          <w:bCs/>
          <w:sz w:val="22"/>
          <w:szCs w:val="22"/>
        </w:rPr>
      </w:pPr>
      <w:r>
        <w:rPr>
          <w:sz w:val="22"/>
        </w:rPr>
        <w:t xml:space="preserve">The </w:t>
      </w:r>
      <w:r>
        <w:rPr>
          <w:rFonts w:hint="eastAsia"/>
          <w:sz w:val="22"/>
        </w:rPr>
        <w:t>deliverable aluminum oxide</w:t>
      </w:r>
      <w:r>
        <w:rPr>
          <w:sz w:val="22"/>
        </w:rPr>
        <w:t xml:space="preserve"> shall be measured by </w:t>
      </w:r>
      <w:r>
        <w:rPr>
          <w:rFonts w:hint="eastAsia"/>
          <w:sz w:val="22"/>
        </w:rPr>
        <w:t xml:space="preserve">net </w:t>
      </w:r>
      <w:r>
        <w:rPr>
          <w:sz w:val="22"/>
        </w:rPr>
        <w:t xml:space="preserve">weight. Difference between standard warrant weight and actual delivery weight shall not exceed </w:t>
      </w:r>
      <w:r>
        <w:rPr>
          <w:rFonts w:hint="eastAsia"/>
          <w:sz w:val="22"/>
        </w:rPr>
        <w:t>plus or minus one</w:t>
      </w:r>
      <w:r>
        <w:rPr>
          <w:sz w:val="22"/>
        </w:rPr>
        <w:t xml:space="preserve"> percent (±1%). </w:t>
      </w:r>
      <w:r>
        <w:rPr>
          <w:rFonts w:hint="eastAsia"/>
          <w:sz w:val="22"/>
        </w:rPr>
        <w:t>Pound difference</w:t>
      </w:r>
      <w:r>
        <w:rPr>
          <w:sz w:val="22"/>
        </w:rPr>
        <w:t xml:space="preserve"> shall not exceed </w:t>
      </w:r>
      <w:r>
        <w:rPr>
          <w:rFonts w:hint="eastAsia"/>
          <w:sz w:val="22"/>
        </w:rPr>
        <w:t xml:space="preserve">plus or minus </w:t>
      </w:r>
      <w:r>
        <w:rPr>
          <w:sz w:val="22"/>
        </w:rPr>
        <w:t>three-tenths of one percent (±0.3%).</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sz w:val="22"/>
          <w:szCs w:val="22"/>
        </w:rPr>
        <w:t>Delivery unit</w:t>
      </w:r>
      <w:r>
        <w:rPr>
          <w:rFonts w:hint="eastAsia"/>
          <w:sz w:val="22"/>
          <w:szCs w:val="22"/>
        </w:rPr>
        <w:t xml:space="preserve"> of an aluminum oxide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rFonts w:hint="eastAsia"/>
          <w:sz w:val="22"/>
          <w:szCs w:val="22"/>
        </w:rPr>
        <w:t>D</w:t>
      </w:r>
      <w:r>
        <w:rPr>
          <w:sz w:val="22"/>
          <w:szCs w:val="22"/>
        </w:rPr>
        <w:t xml:space="preserve">elivery period </w:t>
      </w:r>
      <w:r>
        <w:rPr>
          <w:rFonts w:hint="eastAsia"/>
          <w:sz w:val="22"/>
          <w:szCs w:val="22"/>
        </w:rPr>
        <w:t>of an aluminum oxide futures contract is</w:t>
      </w:r>
      <w:r>
        <w:rPr>
          <w:sz w:val="22"/>
          <w:szCs w:val="22"/>
        </w:rPr>
        <w:t xml:space="preserve"> the two (2) consecutive business days immediately following the last trading day of the contract.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The benchmark price for delivery settlement of a</w:t>
      </w:r>
      <w:r>
        <w:rPr>
          <w:rFonts w:hint="eastAsia"/>
          <w:sz w:val="22"/>
          <w:szCs w:val="22"/>
        </w:rPr>
        <w:t>n</w:t>
      </w:r>
      <w:r>
        <w:rPr>
          <w:sz w:val="22"/>
          <w:szCs w:val="22"/>
        </w:rPr>
        <w:t xml:space="preserve"> </w:t>
      </w:r>
      <w:r>
        <w:rPr>
          <w:rFonts w:hint="eastAsia"/>
          <w:sz w:val="22"/>
          <w:szCs w:val="22"/>
        </w:rPr>
        <w:t xml:space="preserve">aluminum oxide </w:t>
      </w:r>
      <w:r>
        <w:rPr>
          <w:sz w:val="22"/>
          <w:szCs w:val="22"/>
        </w:rPr>
        <w:t>futures contract is the arithmetic average of the settlement prices of that contract over the last five (5) trading days on which it was traded.</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pPr>
        <w:tabs>
          <w:tab w:val="left" w:pos="1276"/>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Resolution of dispute arising from packaging</w:t>
      </w:r>
    </w:p>
    <w:p>
      <w:pPr>
        <w:tabs>
          <w:tab w:val="left" w:pos="709"/>
        </w:tabs>
        <w:adjustRightInd w:val="0"/>
        <w:snapToGrid w:val="0"/>
        <w:spacing w:after="312" w:afterLines="100" w:line="276" w:lineRule="auto"/>
        <w:jc w:val="left"/>
        <w:rPr>
          <w:sz w:val="22"/>
        </w:rPr>
      </w:pPr>
      <w:r>
        <w:rPr>
          <w:sz w:val="22"/>
        </w:rPr>
        <w:t>(</w:t>
      </w:r>
      <w:r>
        <w:rPr>
          <w:rFonts w:hint="eastAsia"/>
          <w:sz w:val="22"/>
        </w:rPr>
        <w:t>i</w:t>
      </w:r>
      <w:r>
        <w:rPr>
          <w:sz w:val="22"/>
        </w:rPr>
        <w:t>)</w:t>
      </w:r>
      <w:r>
        <w:rPr>
          <w:sz w:val="22"/>
        </w:rPr>
        <w:tab/>
      </w:r>
      <w:r>
        <w:rPr>
          <w:sz w:val="22"/>
        </w:rPr>
        <w:t xml:space="preserve">Dispute over packaging </w:t>
      </w:r>
      <w:r>
        <w:rPr>
          <w:rFonts w:hint="eastAsia"/>
          <w:sz w:val="22"/>
        </w:rPr>
        <w:t xml:space="preserve">of deliverable aluminum oxide </w:t>
      </w:r>
      <w:r>
        <w:rPr>
          <w:sz w:val="22"/>
        </w:rPr>
        <w:t xml:space="preserve">shall not constitute a delivery default; </w:t>
      </w:r>
    </w:p>
    <w:p>
      <w:pPr>
        <w:tabs>
          <w:tab w:val="left" w:pos="755"/>
        </w:tabs>
        <w:adjustRightInd w:val="0"/>
        <w:snapToGrid w:val="0"/>
        <w:spacing w:after="312" w:afterLines="100" w:line="276" w:lineRule="auto"/>
        <w:jc w:val="left"/>
        <w:rPr>
          <w:sz w:val="22"/>
          <w:szCs w:val="22"/>
        </w:rPr>
      </w:pPr>
      <w:r>
        <w:rPr>
          <w:sz w:val="22"/>
        </w:rPr>
        <w:t>(</w:t>
      </w:r>
      <w:r>
        <w:rPr>
          <w:rFonts w:hint="eastAsia"/>
          <w:sz w:val="22"/>
        </w:rPr>
        <w:t>ii</w:t>
      </w:r>
      <w:r>
        <w:rPr>
          <w:sz w:val="22"/>
        </w:rPr>
        <w:t>)</w:t>
      </w:r>
      <w:r>
        <w:rPr>
          <w:sz w:val="22"/>
        </w:rPr>
        <w:tab/>
      </w:r>
      <w:r>
        <w:rPr>
          <w:sz w:val="22"/>
        </w:rPr>
        <w:t xml:space="preserve">If the owner </w:t>
      </w:r>
      <w:r>
        <w:rPr>
          <w:rFonts w:hint="eastAsia"/>
          <w:sz w:val="22"/>
        </w:rPr>
        <w:t xml:space="preserve">has any </w:t>
      </w:r>
      <w:r>
        <w:rPr>
          <w:sz w:val="22"/>
        </w:rPr>
        <w:t>dispute</w:t>
      </w:r>
      <w:r>
        <w:rPr>
          <w:rFonts w:hint="eastAsia"/>
          <w:sz w:val="22"/>
        </w:rPr>
        <w:t xml:space="preserve"> about</w:t>
      </w:r>
      <w:r>
        <w:rPr>
          <w:sz w:val="22"/>
        </w:rPr>
        <w:t xml:space="preserve"> the packaging of </w:t>
      </w:r>
      <w:r>
        <w:rPr>
          <w:rFonts w:hint="eastAsia"/>
          <w:sz w:val="22"/>
        </w:rPr>
        <w:t xml:space="preserve">deliverable aluminum oxide, </w:t>
      </w:r>
      <w:r>
        <w:rPr>
          <w:sz w:val="22"/>
        </w:rPr>
        <w:t xml:space="preserve">the manufacturer, delivery warehouse, </w:t>
      </w:r>
      <w:r>
        <w:rPr>
          <w:rFonts w:hint="eastAsia"/>
          <w:sz w:val="22"/>
        </w:rPr>
        <w:t xml:space="preserve">or </w:t>
      </w:r>
      <w:r>
        <w:rPr>
          <w:sz w:val="22"/>
        </w:rPr>
        <w:t>seller shall cooperate with the owner in resolving such dispute.</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eliverable commodities arises, the buyer shall submit a request for dispute resolution within twenty-five (25) days after the payment and the exchange of standard warrants, together with the quality assay report issued by a Designated Inspection Agency.</w:t>
      </w:r>
    </w:p>
    <w:p>
      <w:pPr>
        <w:tabs>
          <w:tab w:val="left" w:pos="1204"/>
        </w:tabs>
        <w:adjustRightInd w:val="0"/>
        <w:snapToGrid w:val="0"/>
        <w:spacing w:after="312" w:afterLines="100" w:line="276" w:lineRule="auto"/>
        <w:jc w:val="center"/>
        <w:rPr>
          <w:b/>
          <w:sz w:val="22"/>
          <w:szCs w:val="22"/>
        </w:rPr>
      </w:pPr>
      <w:r>
        <w:rPr>
          <w:rFonts w:hint="eastAsia"/>
          <w:b/>
          <w:sz w:val="22"/>
          <w:szCs w:val="22"/>
        </w:rPr>
        <w:t>SECTION 2 WAREHOUSE DELIVERY</w:t>
      </w:r>
    </w:p>
    <w:p>
      <w:pPr>
        <w:tabs>
          <w:tab w:val="left" w:pos="1204"/>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rPr>
        <w:t xml:space="preserve">The warehouse standard warrant </w:t>
      </w:r>
      <w:r>
        <w:rPr>
          <w:rFonts w:hint="eastAsia"/>
          <w:sz w:val="22"/>
        </w:rPr>
        <w:t>of aluminum oxide</w:t>
      </w:r>
      <w:r>
        <w:rPr>
          <w:sz w:val="22"/>
        </w:rPr>
        <w:t xml:space="preserve"> shall be valid for </w:t>
      </w:r>
      <w:r>
        <w:rPr>
          <w:rFonts w:hint="eastAsia"/>
          <w:sz w:val="22"/>
        </w:rPr>
        <w:t>one</w:t>
      </w:r>
      <w:r>
        <w:rPr>
          <w:sz w:val="22"/>
        </w:rPr>
        <w:t xml:space="preserve"> hundred and </w:t>
      </w:r>
      <w:r>
        <w:rPr>
          <w:rFonts w:hint="eastAsia"/>
          <w:sz w:val="22"/>
        </w:rPr>
        <w:t>eighty</w:t>
      </w:r>
      <w:r>
        <w:rPr>
          <w:sz w:val="22"/>
        </w:rPr>
        <w:t xml:space="preserve"> (1</w:t>
      </w:r>
      <w:r>
        <w:rPr>
          <w:rFonts w:hint="eastAsia"/>
          <w:sz w:val="22"/>
        </w:rPr>
        <w:t>80</w:t>
      </w:r>
      <w:r>
        <w:rPr>
          <w:sz w:val="22"/>
        </w:rPr>
        <w:t xml:space="preserve">) days from the </w:t>
      </w:r>
      <w:r>
        <w:rPr>
          <w:rFonts w:hint="eastAsia"/>
          <w:sz w:val="22"/>
        </w:rPr>
        <w:t xml:space="preserve">earliest production </w:t>
      </w:r>
      <w:r>
        <w:rPr>
          <w:sz w:val="22"/>
        </w:rPr>
        <w:t xml:space="preserve">date </w:t>
      </w:r>
      <w:r>
        <w:rPr>
          <w:rFonts w:hint="eastAsia"/>
          <w:sz w:val="22"/>
        </w:rPr>
        <w:t>of</w:t>
      </w:r>
      <w:r>
        <w:rPr>
          <w:sz w:val="22"/>
        </w:rPr>
        <w:t xml:space="preserve"> the underlying commodit</w:t>
      </w:r>
      <w:r>
        <w:rPr>
          <w:rFonts w:hint="eastAsia"/>
          <w:sz w:val="22"/>
        </w:rPr>
        <w:t>ies, and be</w:t>
      </w:r>
      <w:r>
        <w:rPr>
          <w:sz w:val="22"/>
        </w:rPr>
        <w:t xml:space="preserve"> created only if all underlying commodities are delivered to the warehouse </w:t>
      </w:r>
      <w:r>
        <w:rPr>
          <w:rFonts w:hint="eastAsia"/>
          <w:sz w:val="22"/>
        </w:rPr>
        <w:t xml:space="preserve">within sixty (60) days </w:t>
      </w:r>
      <w:r>
        <w:rPr>
          <w:sz w:val="22"/>
        </w:rPr>
        <w:t>following their date of production.</w:t>
      </w:r>
    </w:p>
    <w:p>
      <w:pPr>
        <w:tabs>
          <w:tab w:val="left" w:pos="709"/>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27</w:t>
      </w:r>
      <w:r>
        <w:rPr>
          <w:b/>
          <w:bCs/>
          <w:sz w:val="22"/>
          <w:szCs w:val="22"/>
        </w:rPr>
        <w:tab/>
      </w:r>
      <w:r>
        <w:rPr>
          <w:rFonts w:hint="eastAsia"/>
          <w:sz w:val="22"/>
        </w:rPr>
        <w:t>The aluminum oxide</w:t>
      </w:r>
      <w:r>
        <w:rPr>
          <w:sz w:val="22"/>
        </w:rPr>
        <w:t xml:space="preserve"> arriv</w:t>
      </w:r>
      <w:r>
        <w:rPr>
          <w:rFonts w:hint="eastAsia"/>
          <w:sz w:val="22"/>
        </w:rPr>
        <w:t>ing</w:t>
      </w:r>
      <w:r>
        <w:rPr>
          <w:sz w:val="22"/>
        </w:rPr>
        <w:t xml:space="preserve"> at a delivery warehouse </w:t>
      </w:r>
      <w:r>
        <w:rPr>
          <w:rFonts w:hint="eastAsia"/>
          <w:sz w:val="22"/>
        </w:rPr>
        <w:t>shall have</w:t>
      </w:r>
      <w:r>
        <w:rPr>
          <w:sz w:val="22"/>
        </w:rPr>
        <w:t xml:space="preserve"> complete and clean packaging. The delivery warehouse shall check the whole shipment at acceptance</w:t>
      </w:r>
      <w:r>
        <w:rPr>
          <w:rFonts w:hint="eastAsia"/>
          <w:sz w:val="22"/>
        </w:rPr>
        <w:t>.</w:t>
      </w:r>
      <w:r>
        <w:rPr>
          <w:sz w:val="22"/>
        </w:rPr>
        <w:t xml:space="preserve"> Any commodity that is not fit for purpose due to </w:t>
      </w:r>
      <w:r>
        <w:rPr>
          <w:rFonts w:hint="eastAsia"/>
          <w:sz w:val="22"/>
        </w:rPr>
        <w:t xml:space="preserve">nuisance such as </w:t>
      </w:r>
      <w:r>
        <w:rPr>
          <w:sz w:val="22"/>
        </w:rPr>
        <w:t xml:space="preserve">obvious </w:t>
      </w:r>
      <w:r>
        <w:rPr>
          <w:rFonts w:hint="eastAsia"/>
          <w:sz w:val="22"/>
        </w:rPr>
        <w:t xml:space="preserve">rain stains, </w:t>
      </w:r>
      <w:r>
        <w:rPr>
          <w:sz w:val="22"/>
        </w:rPr>
        <w:t>moisture</w:t>
      </w:r>
      <w:r>
        <w:rPr>
          <w:rFonts w:hint="eastAsia"/>
          <w:sz w:val="22"/>
        </w:rPr>
        <w:t xml:space="preserve"> and </w:t>
      </w:r>
      <w:r>
        <w:rPr>
          <w:sz w:val="22"/>
        </w:rPr>
        <w:t>agglomeration</w:t>
      </w:r>
      <w:r>
        <w:rPr>
          <w:rFonts w:hint="eastAsia"/>
          <w:sz w:val="22"/>
        </w:rPr>
        <w:t>,</w:t>
      </w:r>
      <w:r>
        <w:rPr>
          <w:sz w:val="22"/>
        </w:rPr>
        <w:t xml:space="preserve"> </w:t>
      </w:r>
      <w:r>
        <w:rPr>
          <w:rFonts w:hint="eastAsia"/>
          <w:sz w:val="22"/>
        </w:rPr>
        <w:t xml:space="preserve">or </w:t>
      </w:r>
      <w:r>
        <w:rPr>
          <w:sz w:val="22"/>
        </w:rPr>
        <w:t>contamination</w:t>
      </w:r>
      <w:r>
        <w:rPr>
          <w:rFonts w:hint="eastAsia"/>
          <w:sz w:val="22"/>
        </w:rPr>
        <w:t xml:space="preserve"> </w:t>
      </w:r>
      <w:r>
        <w:rPr>
          <w:sz w:val="22"/>
        </w:rPr>
        <w:t>shall</w:t>
      </w:r>
      <w:r>
        <w:rPr>
          <w:rFonts w:hint="eastAsia"/>
          <w:sz w:val="22"/>
        </w:rPr>
        <w:t xml:space="preserve"> be rejected and</w:t>
      </w:r>
      <w:r>
        <w:rPr>
          <w:sz w:val="22"/>
        </w:rPr>
        <w:t xml:space="preserve"> not enter the delivery process.</w:t>
      </w:r>
    </w:p>
    <w:p>
      <w:pPr>
        <w:tabs>
          <w:tab w:val="left" w:pos="1204"/>
        </w:tabs>
        <w:adjustRightInd w:val="0"/>
        <w:snapToGrid w:val="0"/>
        <w:spacing w:after="312" w:afterLines="100" w:line="276" w:lineRule="auto"/>
        <w:jc w:val="left"/>
        <w:rPr>
          <w:sz w:val="22"/>
        </w:rPr>
      </w:pPr>
      <w:r>
        <w:rPr>
          <w:sz w:val="22"/>
        </w:rPr>
        <w:t xml:space="preserve">If </w:t>
      </w:r>
      <w:r>
        <w:rPr>
          <w:rFonts w:hint="eastAsia"/>
          <w:sz w:val="22"/>
        </w:rPr>
        <w:t>aluminum oxide</w:t>
      </w:r>
      <w:r>
        <w:rPr>
          <w:sz w:val="22"/>
        </w:rPr>
        <w:t xml:space="preserve"> arrive</w:t>
      </w:r>
      <w:r>
        <w:rPr>
          <w:rFonts w:hint="eastAsia"/>
          <w:sz w:val="22"/>
        </w:rPr>
        <w:t>s</w:t>
      </w:r>
      <w:r>
        <w:rPr>
          <w:sz w:val="22"/>
        </w:rPr>
        <w:t xml:space="preserve"> at </w:t>
      </w:r>
      <w:r>
        <w:rPr>
          <w:rFonts w:hint="eastAsia"/>
          <w:sz w:val="22"/>
        </w:rPr>
        <w:t>the delivery</w:t>
      </w:r>
      <w:r>
        <w:rPr>
          <w:sz w:val="22"/>
        </w:rPr>
        <w:t xml:space="preserve"> </w:t>
      </w:r>
      <w:r>
        <w:rPr>
          <w:rFonts w:hint="eastAsia"/>
          <w:sz w:val="22"/>
        </w:rPr>
        <w:t>warehouse</w:t>
      </w:r>
      <w:r>
        <w:rPr>
          <w:sz w:val="22"/>
        </w:rPr>
        <w:t xml:space="preserve"> with </w:t>
      </w:r>
      <w:r>
        <w:rPr>
          <w:rFonts w:hint="eastAsia"/>
          <w:sz w:val="22"/>
        </w:rPr>
        <w:t xml:space="preserve">obvious </w:t>
      </w:r>
      <w:r>
        <w:rPr>
          <w:sz w:val="22"/>
        </w:rPr>
        <w:t xml:space="preserve">broken packaging, the </w:t>
      </w:r>
      <w:r>
        <w:rPr>
          <w:rFonts w:hint="eastAsia"/>
          <w:sz w:val="22"/>
        </w:rPr>
        <w:t>aluminum oxide</w:t>
      </w:r>
      <w:r>
        <w:rPr>
          <w:sz w:val="22"/>
        </w:rPr>
        <w:t xml:space="preserve"> shall be repackaged</w:t>
      </w:r>
      <w:r>
        <w:rPr>
          <w:rFonts w:hint="eastAsia"/>
          <w:sz w:val="22"/>
        </w:rPr>
        <w:t xml:space="preserve"> before delivery </w:t>
      </w:r>
      <w:r>
        <w:rPr>
          <w:sz w:val="22"/>
        </w:rPr>
        <w:t xml:space="preserve">with </w:t>
      </w:r>
      <w:r>
        <w:rPr>
          <w:rFonts w:hint="eastAsia"/>
          <w:sz w:val="22"/>
        </w:rPr>
        <w:t>any</w:t>
      </w:r>
      <w:r>
        <w:rPr>
          <w:sz w:val="22"/>
        </w:rPr>
        <w:t xml:space="preserve"> costs incurred borne by the owner</w:t>
      </w:r>
      <w:r>
        <w:rPr>
          <w:rFonts w:hint="eastAsia"/>
          <w:sz w:val="22"/>
        </w:rPr>
        <w:t>.</w:t>
      </w:r>
    </w:p>
    <w:p>
      <w:pPr>
        <w:tabs>
          <w:tab w:val="left" w:pos="1204"/>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28</w:t>
      </w:r>
      <w:r>
        <w:rPr>
          <w:b/>
          <w:bCs/>
          <w:sz w:val="22"/>
          <w:szCs w:val="22"/>
        </w:rPr>
        <w:tab/>
      </w:r>
      <w:r>
        <w:rPr>
          <w:rFonts w:hint="eastAsia"/>
          <w:sz w:val="22"/>
        </w:rPr>
        <w:t>Deliverable aluminum oxide</w:t>
      </w:r>
      <w:r>
        <w:rPr>
          <w:sz w:val="22"/>
        </w:rPr>
        <w:t xml:space="preserve"> underlying each warehouse standard warrant shall be stacked together</w:t>
      </w:r>
      <w:r>
        <w:rPr>
          <w:rFonts w:hint="eastAsia"/>
          <w:sz w:val="22"/>
        </w:rPr>
        <w:t>.</w:t>
      </w:r>
    </w:p>
    <w:p>
      <w:pPr>
        <w:tabs>
          <w:tab w:val="left" w:pos="1204"/>
        </w:tabs>
        <w:adjustRightInd w:val="0"/>
        <w:snapToGrid w:val="0"/>
        <w:spacing w:after="312" w:afterLines="100" w:line="276" w:lineRule="auto"/>
        <w:jc w:val="left"/>
        <w:rPr>
          <w:sz w:val="22"/>
        </w:rPr>
      </w:pPr>
      <w:r>
        <w:rPr>
          <w:b/>
          <w:bCs/>
          <w:sz w:val="22"/>
          <w:szCs w:val="22"/>
        </w:rPr>
        <w:t xml:space="preserve">Article </w:t>
      </w:r>
      <w:r>
        <w:rPr>
          <w:rFonts w:hint="eastAsia"/>
          <w:b/>
          <w:bCs/>
          <w:sz w:val="22"/>
          <w:szCs w:val="22"/>
        </w:rPr>
        <w:t>29</w:t>
      </w:r>
      <w:r>
        <w:rPr>
          <w:b/>
          <w:bCs/>
          <w:sz w:val="22"/>
          <w:szCs w:val="22"/>
        </w:rPr>
        <w:tab/>
      </w:r>
      <w:r>
        <w:rPr>
          <w:sz w:val="22"/>
          <w:szCs w:val="22"/>
        </w:rPr>
        <w:t>After the physical delivery is completed, if the buyer has any dispute over the quality or quantity of the commodity</w:t>
      </w:r>
      <w:r>
        <w:rPr>
          <w:sz w:val="22"/>
        </w:rPr>
        <w:t xml:space="preserve"> (any aluminum oxide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aluminum oxide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pPr>
        <w:tabs>
          <w:tab w:val="left" w:pos="1204"/>
        </w:tabs>
        <w:adjustRightInd w:val="0"/>
        <w:snapToGrid w:val="0"/>
        <w:spacing w:after="312" w:afterLines="100" w:line="276" w:lineRule="auto"/>
        <w:jc w:val="center"/>
        <w:rPr>
          <w:b/>
          <w:sz w:val="22"/>
          <w:szCs w:val="22"/>
        </w:rPr>
      </w:pPr>
      <w:r>
        <w:rPr>
          <w:rFonts w:hint="eastAsia"/>
          <w:b/>
          <w:sz w:val="22"/>
          <w:szCs w:val="22"/>
        </w:rPr>
        <w:t>SECTION 3 FACTORY DELIVERY</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30</w:t>
      </w:r>
      <w:r>
        <w:rPr>
          <w:color w:val="000000"/>
          <w:sz w:val="22"/>
          <w:szCs w:val="22"/>
        </w:rPr>
        <w:tab/>
      </w:r>
      <w:r>
        <w:rPr>
          <w:color w:val="000000"/>
          <w:sz w:val="22"/>
          <w:szCs w:val="22"/>
        </w:rPr>
        <w:t>Application</w:t>
      </w:r>
    </w:p>
    <w:p>
      <w:pPr>
        <w:tabs>
          <w:tab w:val="left" w:pos="1204"/>
        </w:tabs>
        <w:adjustRightInd w:val="0"/>
        <w:snapToGrid w:val="0"/>
        <w:spacing w:after="312" w:afterLines="100" w:line="276" w:lineRule="auto"/>
        <w:jc w:val="left"/>
        <w:rPr>
          <w:color w:val="000000"/>
          <w:sz w:val="22"/>
          <w:szCs w:val="22"/>
        </w:rPr>
      </w:pPr>
      <w:r>
        <w:rPr>
          <w:color w:val="000000"/>
          <w:sz w:val="22"/>
          <w:szCs w:val="22"/>
        </w:rPr>
        <w:t>Before issuing any factory standard warrants, a Factory shall submit an issuance notice to the Exchange, specifying such information as the product, trademark</w:t>
      </w:r>
      <w:r>
        <w:rPr>
          <w:rFonts w:hint="eastAsia"/>
          <w:color w:val="000000"/>
          <w:sz w:val="22"/>
          <w:szCs w:val="22"/>
        </w:rPr>
        <w:t xml:space="preserve"> (in the case of a registered </w:t>
      </w:r>
      <w:r>
        <w:rPr>
          <w:color w:val="000000"/>
          <w:kern w:val="0"/>
          <w:sz w:val="22"/>
          <w:szCs w:val="22"/>
        </w:rPr>
        <w:t xml:space="preserve">production-type </w:t>
      </w:r>
      <w:r>
        <w:rPr>
          <w:rFonts w:hint="eastAsia"/>
          <w:color w:val="000000"/>
          <w:sz w:val="22"/>
          <w:szCs w:val="22"/>
        </w:rPr>
        <w:t>factory</w:t>
      </w:r>
      <w:r>
        <w:rPr>
          <w:color w:val="000000"/>
          <w:sz w:val="22"/>
          <w:szCs w:val="22"/>
        </w:rPr>
        <w:t xml:space="preserve"> warehouse</w:t>
      </w:r>
      <w:r>
        <w:rPr>
          <w:rFonts w:hint="eastAsia"/>
          <w:color w:val="000000"/>
          <w:sz w:val="22"/>
          <w:szCs w:val="22"/>
        </w:rPr>
        <w:t>)</w:t>
      </w:r>
      <w:r>
        <w:rPr>
          <w:color w:val="000000"/>
          <w:sz w:val="22"/>
          <w:szCs w:val="22"/>
        </w:rPr>
        <w:t>, name of the carrying Member, name of the owner, and the quantity of standard warrants to be issued.</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31</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pPr>
        <w:tabs>
          <w:tab w:val="left" w:pos="1204"/>
        </w:tabs>
        <w:adjustRightInd w:val="0"/>
        <w:snapToGrid w:val="0"/>
        <w:spacing w:after="312" w:afterLines="100" w:line="276" w:lineRule="auto"/>
        <w:jc w:val="left"/>
        <w:rPr>
          <w:color w:val="000000"/>
          <w:sz w:val="22"/>
          <w:szCs w:val="22"/>
        </w:rPr>
      </w:pPr>
      <w:r>
        <w:rPr>
          <w:sz w:val="22"/>
        </w:rPr>
        <w:t xml:space="preserve">The validity period for the delivery of </w:t>
      </w:r>
      <w:r>
        <w:rPr>
          <w:rFonts w:hint="eastAsia"/>
          <w:sz w:val="22"/>
        </w:rPr>
        <w:t>aluminum oxide</w:t>
      </w:r>
      <w:r>
        <w:rPr>
          <w:sz w:val="22"/>
        </w:rPr>
        <w:t xml:space="preserve"> </w:t>
      </w:r>
      <w:r>
        <w:rPr>
          <w:rFonts w:hint="eastAsia"/>
          <w:sz w:val="22"/>
        </w:rPr>
        <w:t xml:space="preserve">factory </w:t>
      </w:r>
      <w:r>
        <w:rPr>
          <w:sz w:val="22"/>
        </w:rPr>
        <w:t>standard warrant</w:t>
      </w:r>
      <w:r>
        <w:rPr>
          <w:rFonts w:hint="eastAsia"/>
          <w:sz w:val="22"/>
        </w:rPr>
        <w:t xml:space="preserve"> </w:t>
      </w:r>
      <w:r>
        <w:rPr>
          <w:sz w:val="22"/>
        </w:rPr>
        <w:t xml:space="preserve">shall be </w:t>
      </w:r>
      <w:r>
        <w:rPr>
          <w:rFonts w:hint="eastAsia"/>
          <w:sz w:val="22"/>
        </w:rPr>
        <w:t>one</w:t>
      </w:r>
      <w:r>
        <w:rPr>
          <w:sz w:val="22"/>
        </w:rPr>
        <w:t xml:space="preserve"> hundred and </w:t>
      </w:r>
      <w:r>
        <w:rPr>
          <w:rFonts w:hint="eastAsia"/>
          <w:sz w:val="22"/>
        </w:rPr>
        <w:t>eighty</w:t>
      </w:r>
      <w:r>
        <w:rPr>
          <w:sz w:val="22"/>
        </w:rPr>
        <w:t xml:space="preserve"> (1</w:t>
      </w:r>
      <w:r>
        <w:rPr>
          <w:rFonts w:hint="eastAsia"/>
          <w:sz w:val="22"/>
        </w:rPr>
        <w:t>80</w:t>
      </w:r>
      <w:r>
        <w:rPr>
          <w:sz w:val="22"/>
        </w:rPr>
        <w:t>) days from the date of creation of such warrant</w:t>
      </w:r>
      <w:r>
        <w:rPr>
          <w:rFonts w:hint="eastAsia"/>
          <w:sz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32</w:t>
      </w:r>
      <w:r>
        <w:rPr>
          <w:color w:val="000000"/>
          <w:sz w:val="22"/>
          <w:szCs w:val="22"/>
        </w:rPr>
        <w:tab/>
      </w:r>
      <w:r>
        <w:rPr>
          <w:color w:val="000000"/>
          <w:sz w:val="22"/>
          <w:szCs w:val="22"/>
        </w:rPr>
        <w:t>The load-out commodity under a factory standard warrant shall be</w:t>
      </w:r>
      <w:r>
        <w:rPr>
          <w:rFonts w:hint="eastAsia"/>
          <w:color w:val="000000"/>
          <w:sz w:val="22"/>
          <w:szCs w:val="22"/>
        </w:rPr>
        <w:t xml:space="preserve"> </w:t>
      </w:r>
      <w:r>
        <w:rPr>
          <w:color w:val="000000"/>
          <w:sz w:val="22"/>
          <w:szCs w:val="22"/>
        </w:rPr>
        <w:t xml:space="preserve">registered commodity </w:t>
      </w:r>
      <w:r>
        <w:rPr>
          <w:rFonts w:hint="eastAsia"/>
          <w:color w:val="000000"/>
          <w:sz w:val="22"/>
          <w:szCs w:val="22"/>
        </w:rPr>
        <w:t>produced by a registered enterprise approved by the Exchange and accompanied by</w:t>
      </w:r>
      <w:r>
        <w:rPr>
          <w:color w:val="000000"/>
          <w:sz w:val="22"/>
          <w:szCs w:val="22"/>
        </w:rPr>
        <w:t xml:space="preserve"> corresponding certificate of quality.</w:t>
      </w:r>
    </w:p>
    <w:p>
      <w:pPr>
        <w:tabs>
          <w:tab w:val="left" w:pos="1204"/>
        </w:tabs>
        <w:adjustRightInd w:val="0"/>
        <w:snapToGrid w:val="0"/>
        <w:spacing w:after="312" w:afterLines="100" w:line="276" w:lineRule="auto"/>
        <w:jc w:val="left"/>
        <w:rPr>
          <w:color w:val="000000"/>
          <w:sz w:val="22"/>
          <w:szCs w:val="22"/>
        </w:rPr>
      </w:pPr>
      <w:r>
        <w:rPr>
          <w:rFonts w:hint="eastAsia"/>
          <w:bCs/>
          <w:color w:val="000000"/>
          <w:sz w:val="22"/>
          <w:szCs w:val="22"/>
        </w:rPr>
        <w:t xml:space="preserve">The </w:t>
      </w:r>
      <w:r>
        <w:rPr>
          <w:bCs/>
          <w:color w:val="000000"/>
          <w:sz w:val="22"/>
          <w:szCs w:val="22"/>
        </w:rPr>
        <w:t>production</w:t>
      </w:r>
      <w:r>
        <w:rPr>
          <w:rFonts w:hint="eastAsia"/>
          <w:bCs/>
          <w:color w:val="000000"/>
          <w:sz w:val="22"/>
          <w:szCs w:val="22"/>
        </w:rPr>
        <w:t xml:space="preserve"> date (</w:t>
      </w:r>
      <w:r>
        <w:rPr>
          <w:bCs/>
          <w:color w:val="000000"/>
          <w:sz w:val="22"/>
          <w:szCs w:val="22"/>
        </w:rPr>
        <w:t>packaging</w:t>
      </w:r>
      <w:r>
        <w:rPr>
          <w:rFonts w:hint="eastAsia"/>
          <w:bCs/>
          <w:color w:val="000000"/>
          <w:sz w:val="22"/>
          <w:szCs w:val="22"/>
        </w:rPr>
        <w:t xml:space="preserve"> date) of the </w:t>
      </w:r>
      <w:r>
        <w:rPr>
          <w:color w:val="000000"/>
          <w:sz w:val="22"/>
          <w:szCs w:val="22"/>
        </w:rPr>
        <w:t xml:space="preserve">load-out commodity </w:t>
      </w:r>
      <w:r>
        <w:rPr>
          <w:rFonts w:hint="eastAsia"/>
          <w:color w:val="000000"/>
          <w:sz w:val="22"/>
          <w:szCs w:val="22"/>
        </w:rPr>
        <w:t xml:space="preserve">under a factory standard warrant </w:t>
      </w:r>
      <w:r>
        <w:rPr>
          <w:color w:val="000000"/>
          <w:sz w:val="22"/>
          <w:szCs w:val="22"/>
        </w:rPr>
        <w:t>shall be</w:t>
      </w:r>
      <w:r>
        <w:rPr>
          <w:rFonts w:hint="eastAsia"/>
          <w:color w:val="000000"/>
          <w:sz w:val="22"/>
          <w:szCs w:val="22"/>
        </w:rPr>
        <w:t xml:space="preserve"> within one hundred and eighty (180) days before the take-delivery date confirmed </w:t>
      </w:r>
      <w:r>
        <w:rPr>
          <w:color w:val="000000"/>
          <w:sz w:val="22"/>
          <w:szCs w:val="22"/>
        </w:rPr>
        <w:t>by</w:t>
      </w:r>
      <w:r>
        <w:rPr>
          <w:rFonts w:hint="eastAsia"/>
          <w:color w:val="000000"/>
          <w:sz w:val="22"/>
          <w:szCs w:val="22"/>
        </w:rPr>
        <w:t xml:space="preserve"> the factory standard warrant owner and the Factory.</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33</w:t>
      </w:r>
      <w:r>
        <w:rPr>
          <w:color w:val="000000"/>
          <w:sz w:val="22"/>
          <w:szCs w:val="22"/>
        </w:rPr>
        <w:tab/>
      </w:r>
      <w:r>
        <w:rPr>
          <w:color w:val="000000"/>
          <w:sz w:val="22"/>
          <w:szCs w:val="22"/>
        </w:rPr>
        <w:t>Application for taking delivery</w:t>
      </w:r>
    </w:p>
    <w:p>
      <w:pPr>
        <w:tabs>
          <w:tab w:val="left" w:pos="709"/>
        </w:tabs>
        <w:adjustRightInd w:val="0"/>
        <w:snapToGrid w:val="0"/>
        <w:spacing w:after="312" w:afterLines="100" w:line="276" w:lineRule="auto"/>
        <w:jc w:val="left"/>
        <w:rPr>
          <w:color w:val="000000"/>
          <w:sz w:val="22"/>
          <w:szCs w:val="22"/>
          <w:shd w:val="pct10" w:color="auto" w:fill="FFFFFF"/>
        </w:rPr>
      </w:pPr>
      <w:r>
        <w:rPr>
          <w:color w:val="000000"/>
          <w:sz w:val="22"/>
          <w:szCs w:val="22"/>
        </w:rPr>
        <w:t>(i)</w:t>
      </w:r>
      <w:r>
        <w:rPr>
          <w:color w:val="000000"/>
          <w:sz w:val="22"/>
          <w:szCs w:val="22"/>
        </w:rPr>
        <w:tab/>
      </w:r>
      <w:r>
        <w:rPr>
          <w:color w:val="000000"/>
          <w:sz w:val="22"/>
          <w:szCs w:val="22"/>
        </w:rPr>
        <w:t>A</w:t>
      </w:r>
      <w:r>
        <w:rPr>
          <w:rFonts w:hint="eastAsia"/>
          <w:color w:val="000000"/>
          <w:sz w:val="22"/>
          <w:szCs w:val="22"/>
        </w:rPr>
        <w:t xml:space="preserve">n </w:t>
      </w:r>
      <w:r>
        <w:rPr>
          <w:color w:val="000000"/>
          <w:sz w:val="22"/>
          <w:szCs w:val="22"/>
        </w:rPr>
        <w:t>owner</w:t>
      </w:r>
      <w:r>
        <w:rPr>
          <w:rFonts w:hint="eastAsia"/>
          <w:color w:val="000000"/>
          <w:sz w:val="22"/>
          <w:szCs w:val="22"/>
        </w:rPr>
        <w:t xml:space="preserve"> </w:t>
      </w:r>
      <w:r>
        <w:rPr>
          <w:color w:val="000000"/>
          <w:sz w:val="22"/>
          <w:szCs w:val="22"/>
        </w:rPr>
        <w:t xml:space="preserve">who intends to take delivery shall submit an application through the Standard Warrant Management System to the intended Factory </w:t>
      </w:r>
      <w:r>
        <w:rPr>
          <w:rFonts w:hint="eastAsia"/>
          <w:color w:val="000000"/>
          <w:sz w:val="22"/>
          <w:szCs w:val="22"/>
        </w:rPr>
        <w:t xml:space="preserve">before the fifth </w:t>
      </w:r>
      <w:r>
        <w:rPr>
          <w:color w:val="000000"/>
          <w:sz w:val="22"/>
          <w:szCs w:val="22"/>
        </w:rPr>
        <w:t xml:space="preserve">(5) business day prior to the proposed take-delivery date. The application shall specify such information as </w:t>
      </w:r>
      <w:r>
        <w:rPr>
          <w:rFonts w:hint="eastAsia"/>
          <w:color w:val="000000"/>
          <w:sz w:val="22"/>
          <w:szCs w:val="22"/>
        </w:rPr>
        <w:t>the</w:t>
      </w:r>
      <w:r>
        <w:rPr>
          <w:color w:val="000000"/>
          <w:sz w:val="22"/>
          <w:szCs w:val="22"/>
        </w:rPr>
        <w:t xml:space="preserve"> </w:t>
      </w:r>
      <w:r>
        <w:rPr>
          <w:rFonts w:hint="eastAsia"/>
          <w:color w:val="000000"/>
          <w:sz w:val="22"/>
          <w:szCs w:val="22"/>
        </w:rPr>
        <w:t>number</w:t>
      </w:r>
      <w:r>
        <w:rPr>
          <w:color w:val="000000"/>
          <w:sz w:val="22"/>
          <w:szCs w:val="22"/>
        </w:rPr>
        <w:t xml:space="preserve"> of the factory standard warrant</w:t>
      </w:r>
      <w:r>
        <w:rPr>
          <w:rFonts w:hint="eastAsia"/>
          <w:color w:val="000000"/>
          <w:sz w:val="22"/>
          <w:szCs w:val="22"/>
        </w:rPr>
        <w:t xml:space="preserve">, </w:t>
      </w:r>
      <w:r>
        <w:rPr>
          <w:color w:val="000000"/>
          <w:sz w:val="22"/>
          <w:szCs w:val="22"/>
        </w:rPr>
        <w:t xml:space="preserve">the quantity of the commodity, the proposed take-delivery date, method, and plan (including daily quantity), as well as the identification certificate and telephone number of the delivery taker. </w:t>
      </w:r>
    </w:p>
    <w:p>
      <w:pPr>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 and corresponding manufacturer’s production plan.</w:t>
      </w:r>
    </w:p>
    <w:p>
      <w:pPr>
        <w:adjustRightInd w:val="0"/>
        <w:snapToGrid w:val="0"/>
        <w:spacing w:after="312" w:afterLines="100" w:line="276" w:lineRule="auto"/>
        <w:jc w:val="left"/>
        <w:rPr>
          <w:color w:val="000000"/>
          <w:sz w:val="22"/>
          <w:szCs w:val="22"/>
        </w:rPr>
      </w:pPr>
      <w:r>
        <w:rPr>
          <w:color w:val="000000"/>
          <w:sz w:val="22"/>
          <w:szCs w:val="22"/>
        </w:rPr>
        <w:t>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 if:</w:t>
      </w:r>
    </w:p>
    <w:p>
      <w:pPr>
        <w:tabs>
          <w:tab w:val="left" w:pos="567"/>
        </w:tabs>
        <w:adjustRightInd w:val="0"/>
        <w:snapToGrid w:val="0"/>
        <w:spacing w:after="312" w:afterLines="100" w:line="276" w:lineRule="auto"/>
        <w:jc w:val="left"/>
        <w:rPr>
          <w:color w:val="000000"/>
          <w:sz w:val="22"/>
          <w:szCs w:val="22"/>
        </w:rPr>
      </w:pPr>
      <w:r>
        <w:rPr>
          <w:rFonts w:hint="eastAsia"/>
          <w:color w:val="000000"/>
          <w:sz w:val="22"/>
          <w:szCs w:val="22"/>
        </w:rPr>
        <w:t>1.</w:t>
      </w:r>
      <w:r>
        <w:rPr>
          <w:color w:val="000000"/>
          <w:sz w:val="22"/>
          <w:szCs w:val="22"/>
        </w:rPr>
        <w:tab/>
      </w:r>
      <w:r>
        <w:rPr>
          <w:color w:val="000000"/>
          <w:sz w:val="22"/>
          <w:szCs w:val="22"/>
        </w:rPr>
        <w:t>the owner’s proposed take-delivery date coincides with that of other owners holding factory standard warrants and their total daily take-delivery quantity exceeds the daily shipment quantity of the Factory; or</w:t>
      </w:r>
    </w:p>
    <w:p>
      <w:pPr>
        <w:tabs>
          <w:tab w:val="left" w:pos="567"/>
        </w:tabs>
        <w:adjustRightInd w:val="0"/>
        <w:snapToGrid w:val="0"/>
        <w:spacing w:after="312" w:afterLines="100" w:line="276" w:lineRule="auto"/>
        <w:jc w:val="left"/>
        <w:rPr>
          <w:color w:val="000000"/>
          <w:sz w:val="22"/>
          <w:szCs w:val="22"/>
        </w:rPr>
      </w:pPr>
      <w:r>
        <w:rPr>
          <w:rFonts w:hint="eastAsia"/>
          <w:color w:val="000000"/>
          <w:sz w:val="22"/>
          <w:szCs w:val="22"/>
        </w:rPr>
        <w:t>2.</w:t>
      </w:r>
      <w:r>
        <w:rPr>
          <w:color w:val="000000"/>
          <w:sz w:val="22"/>
          <w:szCs w:val="22"/>
        </w:rPr>
        <w:tab/>
      </w:r>
      <w:r>
        <w:rPr>
          <w:rFonts w:hint="eastAsia"/>
          <w:color w:val="000000"/>
          <w:sz w:val="22"/>
          <w:szCs w:val="22"/>
        </w:rPr>
        <w:t>the owner takes delivery by railway, and the Factory is unable to confirm the owner</w:t>
      </w:r>
      <w:r>
        <w:rPr>
          <w:color w:val="000000"/>
          <w:sz w:val="22"/>
          <w:szCs w:val="22"/>
        </w:rPr>
        <w:t>’</w:t>
      </w:r>
      <w:r>
        <w:rPr>
          <w:rFonts w:hint="eastAsia"/>
          <w:color w:val="000000"/>
          <w:sz w:val="22"/>
          <w:szCs w:val="22"/>
        </w:rPr>
        <w:t xml:space="preserve">s application due to </w:t>
      </w:r>
      <w:r>
        <w:rPr>
          <w:color w:val="000000"/>
          <w:sz w:val="22"/>
          <w:szCs w:val="22"/>
        </w:rPr>
        <w:t>rail transport scheduling.</w:t>
      </w:r>
    </w:p>
    <w:p>
      <w:pPr>
        <w:adjustRightInd w:val="0"/>
        <w:snapToGrid w:val="0"/>
        <w:spacing w:after="312" w:afterLines="100" w:line="276" w:lineRule="auto"/>
        <w:jc w:val="left"/>
        <w:rPr>
          <w:color w:val="000000"/>
          <w:sz w:val="22"/>
          <w:szCs w:val="22"/>
        </w:rPr>
      </w:pPr>
      <w:r>
        <w:rPr>
          <w:color w:val="000000"/>
          <w:sz w:val="22"/>
          <w:szCs w:val="22"/>
        </w:rPr>
        <w:t>The earliest take-delivery time that the Factory provides shall be within a reasonable period from the owner’s proposed take-delivery date. If agreeing to the arrangement, the owner may choose one (1) day from the said period as the take-delivery date and confirm the shipment plan; otherwise, the owner shall negotiate with the Factory again to reach an agreement on the take-delivery date and the shipment plan.</w:t>
      </w:r>
    </w:p>
    <w:p>
      <w:pPr>
        <w:tabs>
          <w:tab w:val="left" w:pos="709"/>
        </w:tabs>
        <w:adjustRightInd w:val="0"/>
        <w:snapToGrid w:val="0"/>
        <w:spacing w:after="312" w:afterLines="100" w:line="276" w:lineRule="auto"/>
        <w:jc w:val="left"/>
        <w:rPr>
          <w:color w:val="000000"/>
          <w:sz w:val="22"/>
          <w:szCs w:val="22"/>
        </w:rPr>
      </w:pPr>
      <w:r>
        <w:rPr>
          <w:color w:val="000000"/>
          <w:sz w:val="22"/>
          <w:szCs w:val="22"/>
        </w:rPr>
        <w:t>(iii)</w:t>
      </w:r>
      <w:r>
        <w:rPr>
          <w:color w:val="000000"/>
          <w:sz w:val="22"/>
          <w:szCs w:val="22"/>
        </w:rPr>
        <w:tab/>
      </w:r>
      <w:r>
        <w:rPr>
          <w:color w:val="000000"/>
          <w:sz w:val="22"/>
          <w:szCs w:val="22"/>
        </w:rPr>
        <w:t xml:space="preserve">The Factory shall be exempt from any financial liability for any owner’s delay in taking delivery due to the </w:t>
      </w:r>
      <w:r>
        <w:rPr>
          <w:rFonts w:hint="eastAsia"/>
          <w:color w:val="000000"/>
          <w:sz w:val="22"/>
          <w:szCs w:val="22"/>
        </w:rPr>
        <w:t>circumstances</w:t>
      </w:r>
      <w:r>
        <w:rPr>
          <w:color w:val="000000"/>
          <w:sz w:val="22"/>
          <w:szCs w:val="22"/>
        </w:rPr>
        <w:t xml:space="preserve"> described in sub-paragraph (ii), provided that the Factory shall timely report such delay and its causes to the Exchange for written record.</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34</w:t>
      </w:r>
      <w:r>
        <w:rPr>
          <w:color w:val="000000"/>
          <w:sz w:val="22"/>
          <w:szCs w:val="22"/>
        </w:rPr>
        <w:tab/>
      </w:r>
      <w:r>
        <w:rPr>
          <w:color w:val="000000"/>
          <w:sz w:val="22"/>
          <w:szCs w:val="22"/>
        </w:rPr>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according to the</w:t>
      </w:r>
      <w:r>
        <w:rPr>
          <w:color w:val="000000"/>
          <w:sz w:val="22"/>
          <w:szCs w:val="22"/>
        </w:rPr>
        <w:t xml:space="preserve"> net</w:t>
      </w:r>
      <w:r>
        <w:rPr>
          <w:rFonts w:hint="eastAsia"/>
          <w:color w:val="000000"/>
          <w:sz w:val="22"/>
          <w:szCs w:val="22"/>
        </w:rPr>
        <w:t xml:space="preserve"> </w:t>
      </w:r>
      <w:r>
        <w:rPr>
          <w:color w:val="000000"/>
          <w:sz w:val="22"/>
          <w:szCs w:val="22"/>
        </w:rPr>
        <w:t>content</w:t>
      </w:r>
      <w:r>
        <w:rPr>
          <w:rFonts w:hint="eastAsia"/>
          <w:color w:val="000000"/>
          <w:sz w:val="22"/>
          <w:szCs w:val="22"/>
        </w:rPr>
        <w:t xml:space="preserve"> by the Factory</w:t>
      </w:r>
      <w:r>
        <w:rPr>
          <w:color w:val="000000"/>
          <w:sz w:val="22"/>
          <w:szCs w:val="22"/>
        </w:rPr>
        <w: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35</w:t>
      </w:r>
      <w:r>
        <w:rPr>
          <w:color w:val="000000"/>
          <w:sz w:val="22"/>
          <w:szCs w:val="22"/>
        </w:rPr>
        <w:tab/>
      </w:r>
      <w:r>
        <w:rPr>
          <w:color w:val="000000"/>
          <w:sz w:val="22"/>
          <w:szCs w:val="22"/>
        </w:rPr>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pPr>
        <w:tabs>
          <w:tab w:val="left" w:pos="1204"/>
        </w:tabs>
        <w:adjustRightInd w:val="0"/>
        <w:snapToGrid w:val="0"/>
        <w:spacing w:after="312" w:afterLines="100" w:line="276" w:lineRule="auto"/>
        <w:jc w:val="left"/>
        <w:rPr>
          <w:color w:val="000000"/>
          <w:sz w:val="22"/>
          <w:szCs w:val="22"/>
        </w:rPr>
      </w:pPr>
      <w:r>
        <w:rPr>
          <w:color w:val="000000"/>
          <w:sz w:val="22"/>
          <w:szCs w:val="22"/>
        </w:rPr>
        <w:t>Overdue fine = 2 yuan/metric ton per day × quantity of commodity that should have been taken × number of days overdue</w:t>
      </w:r>
    </w:p>
    <w:p>
      <w:pPr>
        <w:tabs>
          <w:tab w:val="left" w:pos="1204"/>
        </w:tabs>
        <w:adjustRightInd w:val="0"/>
        <w:snapToGrid w:val="0"/>
        <w:spacing w:after="312" w:afterLines="100" w:line="276"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36</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pPr>
        <w:tabs>
          <w:tab w:val="left" w:pos="1204"/>
        </w:tabs>
        <w:adjustRightInd w:val="0"/>
        <w:snapToGrid w:val="0"/>
        <w:spacing w:after="312" w:afterLines="100" w:line="276" w:lineRule="auto"/>
        <w:jc w:val="left"/>
        <w:rPr>
          <w:color w:val="000000"/>
          <w:sz w:val="22"/>
          <w:szCs w:val="22"/>
        </w:rPr>
      </w:pPr>
      <w:r>
        <w:rPr>
          <w:color w:val="000000"/>
          <w:sz w:val="22"/>
          <w:szCs w:val="22"/>
        </w:rPr>
        <w:t>Overdue fine = 35 yuan/metric ton × quantity of commodity that should have been taken</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37</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pPr>
        <w:tabs>
          <w:tab w:val="left" w:pos="1204"/>
        </w:tabs>
        <w:adjustRightInd w:val="0"/>
        <w:snapToGrid w:val="0"/>
        <w:spacing w:after="312" w:afterLines="100" w:line="276" w:lineRule="auto"/>
        <w:jc w:val="left"/>
        <w:rPr>
          <w:color w:val="000000"/>
          <w:sz w:val="22"/>
          <w:szCs w:val="22"/>
        </w:rPr>
      </w:pPr>
      <w:r>
        <w:rPr>
          <w:color w:val="000000"/>
          <w:sz w:val="22"/>
          <w:szCs w:val="22"/>
        </w:rPr>
        <w:t>Compensation = 50 yuan/metric ton × quantity of commodity that should have been shipped according to the daily shipment plan</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38</w:t>
      </w:r>
      <w:r>
        <w:rPr>
          <w:color w:val="000000"/>
          <w:sz w:val="22"/>
          <w:szCs w:val="22"/>
        </w:rPr>
        <w:tab/>
      </w:r>
      <w:r>
        <w:rPr>
          <w:color w:val="000000"/>
          <w:sz w:val="22"/>
          <w:szCs w:val="22"/>
        </w:rPr>
        <w:t>If the Factory fails to complete the shipment within fifteen (15) days (including the 15th day) after the agreed take-delivery date, the owner may choose either of the followings:</w:t>
      </w:r>
    </w:p>
    <w:p>
      <w:pPr>
        <w:tabs>
          <w:tab w:val="left" w:pos="709"/>
        </w:tabs>
        <w:adjustRightInd w:val="0"/>
        <w:snapToGrid w:val="0"/>
        <w:spacing w:after="312" w:afterLines="100" w:line="276" w:lineRule="auto"/>
        <w:jc w:val="left"/>
        <w:rPr>
          <w:color w:val="000000"/>
          <w:sz w:val="22"/>
          <w:szCs w:val="22"/>
        </w:rPr>
      </w:pPr>
      <w:r>
        <w:rPr>
          <w:color w:val="000000"/>
          <w:sz w:val="22"/>
          <w:szCs w:val="22"/>
        </w:rPr>
        <w:t>(i)</w:t>
      </w:r>
      <w:r>
        <w:rPr>
          <w:color w:val="000000"/>
          <w:sz w:val="22"/>
          <w:szCs w:val="22"/>
        </w:rPr>
        <w:tab/>
      </w:r>
      <w:r>
        <w:rPr>
          <w:color w:val="000000"/>
          <w:sz w:val="22"/>
          <w:szCs w:val="22"/>
        </w:rPr>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pPr>
        <w:tabs>
          <w:tab w:val="left" w:pos="1204"/>
        </w:tabs>
        <w:adjustRightInd w:val="0"/>
        <w:snapToGrid w:val="0"/>
        <w:spacing w:after="312" w:afterLines="100" w:line="276"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2</w:t>
      </w:r>
      <w:r>
        <w:rPr>
          <w:color w:val="000000"/>
          <w:sz w:val="22"/>
          <w:szCs w:val="22"/>
        </w:rPr>
        <w:t>0%</w:t>
      </w:r>
    </w:p>
    <w:p>
      <w:pPr>
        <w:tabs>
          <w:tab w:val="left" w:pos="1204"/>
        </w:tabs>
        <w:adjustRightInd w:val="0"/>
        <w:snapToGrid w:val="0"/>
        <w:spacing w:after="312" w:afterLines="100" w:line="276"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pPr>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If on the 15th day after the agreed take-delivery date, the owner fails to notify the Factory that it will cease accepting any commodity that should have been shipped, the parties shall negotiate the details on taking delivery of such commodity.</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39</w:t>
      </w:r>
      <w:r>
        <w:rPr>
          <w:color w:val="000000"/>
          <w:sz w:val="22"/>
          <w:szCs w:val="22"/>
        </w:rPr>
        <w:tab/>
      </w:r>
      <w:r>
        <w:rPr>
          <w:color w:val="000000"/>
          <w:sz w:val="22"/>
          <w:szCs w:val="22"/>
        </w:rPr>
        <w:t xml:space="preserve">If a Factory commits any default described in Article </w:t>
      </w:r>
      <w:r>
        <w:rPr>
          <w:rFonts w:hint="eastAsia"/>
          <w:color w:val="000000"/>
          <w:sz w:val="22"/>
          <w:szCs w:val="22"/>
        </w:rPr>
        <w:t>37</w:t>
      </w:r>
      <w:r>
        <w:rPr>
          <w:color w:val="000000"/>
          <w:sz w:val="22"/>
          <w:szCs w:val="22"/>
        </w:rPr>
        <w:t xml:space="preserve"> or </w:t>
      </w:r>
      <w:r>
        <w:rPr>
          <w:rFonts w:hint="eastAsia"/>
          <w:color w:val="000000"/>
          <w:sz w:val="22"/>
          <w:szCs w:val="22"/>
        </w:rPr>
        <w:t>38</w:t>
      </w:r>
      <w:r>
        <w:rPr>
          <w:color w:val="000000"/>
          <w:sz w:val="22"/>
          <w:szCs w:val="22"/>
        </w:rPr>
        <w:t>, it shall pay compensation or refund corresponding commodity payment together with additional compensation directly to the owner.</w:t>
      </w:r>
      <w:r>
        <w:rPr>
          <w:rFonts w:hint="eastAsia" w:eastAsia="方正仿宋简体"/>
          <w:color w:val="000000"/>
          <w:sz w:val="22"/>
          <w:szCs w:val="22"/>
        </w:rPr>
        <w:t xml:space="preserve"> </w:t>
      </w:r>
      <w:r>
        <w:rPr>
          <w:color w:val="000000"/>
          <w:sz w:val="22"/>
          <w:szCs w:val="22"/>
        </w:rPr>
        <w:t xml:space="preserve">If the Factory fails to make the payment in full or in part, the Exchange shall pay any deficient amount to the owner: </w:t>
      </w:r>
    </w:p>
    <w:p>
      <w:pPr>
        <w:tabs>
          <w:tab w:val="left" w:pos="709"/>
        </w:tabs>
        <w:adjustRightInd w:val="0"/>
        <w:snapToGrid w:val="0"/>
        <w:spacing w:after="312" w:afterLines="100" w:line="276" w:lineRule="auto"/>
        <w:jc w:val="left"/>
        <w:rPr>
          <w:color w:val="000000"/>
          <w:sz w:val="22"/>
          <w:szCs w:val="22"/>
        </w:rPr>
      </w:pPr>
      <w:r>
        <w:rPr>
          <w:color w:val="000000"/>
          <w:sz w:val="22"/>
          <w:szCs w:val="22"/>
        </w:rPr>
        <w:t>(i)</w:t>
      </w:r>
      <w:r>
        <w:rPr>
          <w:color w:val="000000"/>
          <w:sz w:val="22"/>
          <w:szCs w:val="22"/>
        </w:rPr>
        <w:tab/>
      </w:r>
      <w:r>
        <w:rPr>
          <w:color w:val="000000"/>
          <w:sz w:val="22"/>
          <w:szCs w:val="22"/>
        </w:rPr>
        <w:t>with the guarantees provided by the Factory; or</w:t>
      </w:r>
    </w:p>
    <w:p>
      <w:pPr>
        <w:tabs>
          <w:tab w:val="left" w:pos="709"/>
        </w:tabs>
        <w:adjustRightInd w:val="0"/>
        <w:snapToGrid w:val="0"/>
        <w:spacing w:after="312" w:afterLines="100" w:line="276" w:lineRule="auto"/>
        <w:jc w:val="left"/>
        <w:rPr>
          <w:color w:val="000000"/>
          <w:sz w:val="22"/>
          <w:szCs w:val="22"/>
        </w:rPr>
      </w:pPr>
      <w:r>
        <w:rPr>
          <w:color w:val="000000"/>
          <w:sz w:val="22"/>
          <w:szCs w:val="22"/>
        </w:rPr>
        <w:t>(ii)</w:t>
      </w:r>
      <w:r>
        <w:rPr>
          <w:color w:val="000000"/>
          <w:sz w:val="22"/>
          <w:szCs w:val="22"/>
        </w:rPr>
        <w:tab/>
      </w:r>
      <w:r>
        <w:rPr>
          <w:color w:val="000000"/>
          <w:sz w:val="22"/>
          <w:szCs w:val="22"/>
        </w:rPr>
        <w:t>with the Exchange’s funds and recourse to the Factory by such means as legal proceedings.</w:t>
      </w:r>
    </w:p>
    <w:p>
      <w:pPr>
        <w:tabs>
          <w:tab w:val="left" w:pos="1204"/>
        </w:tabs>
        <w:adjustRightInd w:val="0"/>
        <w:snapToGrid w:val="0"/>
        <w:spacing w:after="312" w:afterLines="100" w:line="276" w:lineRule="auto"/>
        <w:jc w:val="left"/>
        <w:rPr>
          <w:color w:val="000000"/>
          <w:sz w:val="22"/>
          <w:szCs w:val="22"/>
        </w:rPr>
      </w:pPr>
      <w:r>
        <w:rPr>
          <w:b/>
          <w:bCs/>
          <w:color w:val="000000"/>
          <w:sz w:val="22"/>
          <w:szCs w:val="22"/>
        </w:rPr>
        <w:t xml:space="preserve">Article </w:t>
      </w:r>
      <w:r>
        <w:rPr>
          <w:rFonts w:hint="eastAsia"/>
          <w:b/>
          <w:bCs/>
          <w:color w:val="000000"/>
          <w:sz w:val="22"/>
          <w:szCs w:val="22"/>
        </w:rPr>
        <w:t>40</w:t>
      </w:r>
      <w:r>
        <w:rPr>
          <w:color w:val="000000"/>
          <w:sz w:val="22"/>
          <w:szCs w:val="22"/>
        </w:rPr>
        <w:tab/>
      </w:r>
      <w:r>
        <w:rPr>
          <w:color w:val="000000"/>
          <w:sz w:val="22"/>
          <w:szCs w:val="22"/>
        </w:rPr>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35</w:t>
      </w:r>
      <w:r>
        <w:rPr>
          <w:color w:val="000000"/>
          <w:sz w:val="22"/>
          <w:szCs w:val="22"/>
        </w:rPr>
        <w:t xml:space="preserve"> or </w:t>
      </w:r>
      <w:r>
        <w:rPr>
          <w:rFonts w:hint="eastAsia"/>
          <w:color w:val="000000"/>
          <w:sz w:val="22"/>
          <w:szCs w:val="22"/>
        </w:rPr>
        <w:t>36</w:t>
      </w:r>
      <w:r>
        <w:rPr>
          <w:color w:val="000000"/>
          <w:sz w:val="22"/>
          <w:szCs w:val="22"/>
        </w:rPr>
        <w:t>, it shall pay overdue fine directly to the Factory. If the owner fails to make the payment in full or in part, the Factory may recourse to the owner by such means as legal proceedings.</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41</w:t>
      </w:r>
      <w:r>
        <w:rPr>
          <w:color w:val="000000"/>
          <w:sz w:val="22"/>
          <w:szCs w:val="22"/>
        </w:rPr>
        <w:tab/>
      </w:r>
      <w:r>
        <w:rPr>
          <w:color w:val="000000"/>
          <w:sz w:val="22"/>
          <w:szCs w:val="22"/>
        </w:rPr>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w:t>
      </w:r>
      <w:r>
        <w:rPr>
          <w:color w:val="000000"/>
          <w:sz w:val="22"/>
          <w:szCs w:val="22"/>
        </w:rPr>
        <w:t xml:space="preserve">5, </w:t>
      </w:r>
      <w:r>
        <w:rPr>
          <w:rFonts w:hint="eastAsia"/>
          <w:color w:val="000000"/>
          <w:sz w:val="22"/>
          <w:szCs w:val="22"/>
        </w:rPr>
        <w:t>3</w:t>
      </w:r>
      <w:r>
        <w:rPr>
          <w:color w:val="000000"/>
          <w:sz w:val="22"/>
          <w:szCs w:val="22"/>
        </w:rPr>
        <w:t xml:space="preserve">6, </w:t>
      </w:r>
      <w:r>
        <w:rPr>
          <w:rFonts w:hint="eastAsia"/>
          <w:color w:val="000000"/>
          <w:sz w:val="22"/>
          <w:szCs w:val="22"/>
        </w:rPr>
        <w:t>3</w:t>
      </w:r>
      <w:r>
        <w:rPr>
          <w:color w:val="000000"/>
          <w:sz w:val="22"/>
          <w:szCs w:val="22"/>
        </w:rPr>
        <w:t>7 or</w:t>
      </w:r>
      <w:r>
        <w:rPr>
          <w:rFonts w:hint="eastAsia"/>
          <w:color w:val="000000"/>
          <w:sz w:val="22"/>
          <w:szCs w:val="22"/>
        </w:rPr>
        <w:t xml:space="preserve"> 38</w:t>
      </w:r>
      <w:r>
        <w:rPr>
          <w:color w:val="000000"/>
          <w:sz w:val="22"/>
          <w:szCs w:val="22"/>
        </w:rPr>
        <w:t xml:space="preserve"> shall be handled by both parties as agreed if they have reached a separate agreement. The agreement shall be filed in writing with the Exchange for record. </w:t>
      </w:r>
    </w:p>
    <w:p>
      <w:pPr>
        <w:tabs>
          <w:tab w:val="left" w:pos="1204"/>
        </w:tabs>
        <w:adjustRightInd w:val="0"/>
        <w:snapToGrid w:val="0"/>
        <w:spacing w:after="312" w:afterLines="100" w:line="276"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42</w:t>
      </w:r>
      <w:r>
        <w:rPr>
          <w:color w:val="000000"/>
          <w:sz w:val="22"/>
          <w:szCs w:val="22"/>
        </w:rPr>
        <w:tab/>
      </w:r>
      <w:r>
        <w:rPr>
          <w:color w:val="000000"/>
          <w:sz w:val="22"/>
          <w:szCs w:val="22"/>
        </w:rPr>
        <w:t>Quality dispute resolution</w:t>
      </w:r>
    </w:p>
    <w:p>
      <w:pPr>
        <w:tabs>
          <w:tab w:val="left" w:pos="1204"/>
        </w:tabs>
        <w:adjustRightInd w:val="0"/>
        <w:snapToGrid w:val="0"/>
        <w:spacing w:after="312" w:afterLines="100" w:line="276" w:lineRule="auto"/>
        <w:jc w:val="left"/>
        <w:rPr>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twenty (20) business days following the cancellation date </w:t>
      </w:r>
      <w:r>
        <w:rPr>
          <w:rFonts w:hint="eastAsia"/>
          <w:color w:val="000000"/>
          <w:sz w:val="22"/>
          <w:szCs w:val="22"/>
        </w:rPr>
        <w:t>of s</w:t>
      </w:r>
      <w:r>
        <w:rPr>
          <w:color w:val="000000"/>
          <w:sz w:val="22"/>
          <w:szCs w:val="22"/>
        </w:rPr>
        <w:t>tandard</w:t>
      </w:r>
      <w:r>
        <w:rPr>
          <w:rFonts w:hint="eastAsia"/>
          <w:color w:val="000000"/>
          <w:sz w:val="22"/>
          <w:szCs w:val="22"/>
        </w:rPr>
        <w:t xml:space="preserve"> warrants</w:t>
      </w:r>
      <w:r>
        <w:rPr>
          <w:color w:val="000000"/>
          <w:sz w:val="22"/>
          <w:szCs w:val="22"/>
        </w:rPr>
        <w:t xml:space="preserve">, provided that </w:t>
      </w:r>
      <w:r>
        <w:rPr>
          <w:rFonts w:hint="eastAsia"/>
          <w:color w:val="000000"/>
          <w:sz w:val="22"/>
          <w:szCs w:val="22"/>
        </w:rPr>
        <w:t xml:space="preserve">the disputed commodity </w:t>
      </w:r>
      <w:r>
        <w:rPr>
          <w:color w:val="000000"/>
          <w:sz w:val="22"/>
          <w:szCs w:val="22"/>
        </w:rPr>
        <w:t>shall remain at the take-delivery locations of</w:t>
      </w:r>
      <w:r>
        <w:rPr>
          <w:rFonts w:hint="eastAsia"/>
          <w:color w:val="000000"/>
          <w:sz w:val="22"/>
          <w:szCs w:val="22"/>
        </w:rPr>
        <w:t xml:space="preserve"> the Factory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pPr>
        <w:widowControl/>
        <w:tabs>
          <w:tab w:val="left" w:pos="1560"/>
        </w:tabs>
        <w:adjustRightInd w:val="0"/>
        <w:snapToGrid w:val="0"/>
        <w:spacing w:before="468" w:beforeLines="150" w:after="312" w:afterLines="100"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43</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an aluminum oxide futures contract is 5%.</w:t>
      </w: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44</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aluminum oxide futures are as follows:</w:t>
      </w:r>
    </w:p>
    <w:tbl>
      <w:tblPr>
        <w:tblStyle w:val="7"/>
        <w:tblW w:w="5000" w:type="pct"/>
        <w:tblInd w:w="0" w:type="dxa"/>
        <w:tblLayout w:type="autofit"/>
        <w:tblCellMar>
          <w:top w:w="61" w:type="dxa"/>
          <w:left w:w="108" w:type="dxa"/>
          <w:bottom w:w="0" w:type="dxa"/>
          <w:right w:w="24" w:type="dxa"/>
        </w:tblCellMar>
      </w:tblPr>
      <w:tblGrid>
        <w:gridCol w:w="5817"/>
        <w:gridCol w:w="2621"/>
      </w:tblGrid>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Stage of Trading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b/>
                <w:sz w:val="22"/>
                <w:szCs w:val="22"/>
              </w:rPr>
            </w:pPr>
            <w:r>
              <w:rPr>
                <w:b/>
                <w:sz w:val="22"/>
                <w:szCs w:val="22"/>
              </w:rPr>
              <w:t>Trading Margin</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listing</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month prior to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10%</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first trading day of the delivery month</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15%</w:t>
            </w:r>
          </w:p>
        </w:tc>
      </w:tr>
      <w:tr>
        <w:tblPrEx>
          <w:tblCellMar>
            <w:top w:w="61" w:type="dxa"/>
            <w:left w:w="108" w:type="dxa"/>
            <w:bottom w:w="0" w:type="dxa"/>
            <w:right w:w="24" w:type="dxa"/>
          </w:tblCellMar>
        </w:tblPrEx>
        <w:trPr>
          <w:trHeight w:val="20" w:hRule="atLeast"/>
        </w:trPr>
        <w:tc>
          <w:tcPr>
            <w:tcW w:w="3447"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As of the second trading day prior to the last trading day</w:t>
            </w:r>
          </w:p>
        </w:tc>
        <w:tc>
          <w:tcPr>
            <w:tcW w:w="1553" w:type="pct"/>
            <w:tcBorders>
              <w:top w:val="single" w:color="000000" w:sz="4" w:space="0"/>
              <w:left w:val="single" w:color="000000" w:sz="4" w:space="0"/>
              <w:bottom w:val="single" w:color="000000" w:sz="4" w:space="0"/>
              <w:right w:val="single" w:color="000000"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20%</w:t>
            </w:r>
          </w:p>
        </w:tc>
      </w:tr>
    </w:tbl>
    <w:p>
      <w:pPr>
        <w:tabs>
          <w:tab w:val="left" w:pos="1204"/>
        </w:tabs>
        <w:adjustRightInd w:val="0"/>
        <w:snapToGrid w:val="0"/>
        <w:spacing w:after="312" w:afterLines="100" w:line="276" w:lineRule="auto"/>
        <w:jc w:val="left"/>
        <w:rPr>
          <w:b/>
          <w:bCs/>
          <w:sz w:val="22"/>
          <w:szCs w:val="22"/>
        </w:rPr>
      </w:pPr>
    </w:p>
    <w:p>
      <w:pPr>
        <w:tabs>
          <w:tab w:val="left" w:pos="1204"/>
        </w:tabs>
        <w:adjustRightInd w:val="0"/>
        <w:snapToGrid w:val="0"/>
        <w:spacing w:after="312" w:afterLines="100" w:line="276" w:lineRule="auto"/>
        <w:jc w:val="left"/>
        <w:rPr>
          <w:sz w:val="22"/>
          <w:szCs w:val="22"/>
        </w:rPr>
      </w:pPr>
      <w:r>
        <w:rPr>
          <w:b/>
          <w:bCs/>
          <w:sz w:val="22"/>
          <w:szCs w:val="22"/>
        </w:rPr>
        <w:t xml:space="preserve">Article </w:t>
      </w:r>
      <w:r>
        <w:rPr>
          <w:rFonts w:hint="eastAsia"/>
          <w:b/>
          <w:bCs/>
          <w:sz w:val="22"/>
          <w:szCs w:val="22"/>
        </w:rPr>
        <w:t>45</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an</w:t>
      </w:r>
      <w:r>
        <w:rPr>
          <w:rFonts w:hint="eastAsia"/>
          <w:sz w:val="22"/>
          <w:szCs w:val="22"/>
        </w:rPr>
        <w:t xml:space="preserve"> aluminum oxide futures contract is w</w:t>
      </w:r>
      <w:r>
        <w:rPr>
          <w:sz w:val="22"/>
          <w:szCs w:val="22"/>
        </w:rPr>
        <w:t>ithin ±</w:t>
      </w:r>
      <w:r>
        <w:rPr>
          <w:rFonts w:hint="eastAsia"/>
          <w:sz w:val="22"/>
          <w:szCs w:val="22"/>
        </w:rPr>
        <w:t>4</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46</w:t>
      </w:r>
      <w:r>
        <w:rPr>
          <w:bCs/>
          <w:sz w:val="22"/>
          <w:szCs w:val="22"/>
        </w:rPr>
        <w:tab/>
      </w:r>
      <w:r>
        <w:rPr>
          <w:bCs/>
          <w:sz w:val="22"/>
          <w:szCs w:val="22"/>
        </w:rPr>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aluminum oxide</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Style w:val="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34"/>
        <w:gridCol w:w="770"/>
        <w:gridCol w:w="1570"/>
        <w:gridCol w:w="770"/>
        <w:gridCol w:w="846"/>
        <w:gridCol w:w="724"/>
        <w:gridCol w:w="789"/>
        <w:gridCol w:w="585"/>
        <w:gridCol w:w="789"/>
        <w:gridCol w:w="5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981" w:type="pct"/>
            <w:gridSpan w:val="2"/>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delivery month</w:t>
            </w:r>
          </w:p>
        </w:tc>
        <w:tc>
          <w:tcPr>
            <w:tcW w:w="1586" w:type="pct"/>
            <w:gridSpan w:val="3"/>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From the date of listing to the last trading day of the second month prior to the delivery month</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First month prior to the delivery month</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Delivery month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Percentage-based Position Limit (%)</w:t>
            </w:r>
          </w:p>
        </w:tc>
        <w:tc>
          <w:tcPr>
            <w:tcW w:w="604" w:type="pct"/>
            <w:vMerge w:val="restar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sz w:val="22"/>
                <w:szCs w:val="22"/>
              </w:rPr>
              <w:t>Total open</w:t>
            </w:r>
          </w:p>
          <w:p>
            <w:pPr>
              <w:tabs>
                <w:tab w:val="left" w:pos="1204"/>
              </w:tabs>
              <w:adjustRightInd w:val="0"/>
              <w:snapToGrid w:val="0"/>
              <w:spacing w:after="312" w:afterLines="100" w:line="276" w:lineRule="auto"/>
              <w:jc w:val="left"/>
              <w:rPr>
                <w:bCs/>
                <w:sz w:val="22"/>
                <w:szCs w:val="22"/>
              </w:rPr>
            </w:pPr>
            <w:r>
              <w:rPr>
                <w:sz w:val="22"/>
                <w:szCs w:val="22"/>
              </w:rPr>
              <w:t>interest</w:t>
            </w:r>
          </w:p>
        </w:tc>
        <w:tc>
          <w:tcPr>
            <w:tcW w:w="982" w:type="pct"/>
            <w:gridSpan w:val="2"/>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82" w:type="pct"/>
            <w:gridSpan w:val="2"/>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c>
          <w:tcPr>
            <w:tcW w:w="907" w:type="pct"/>
            <w:gridSpan w:val="2"/>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Fixed-amount Position Limit (in lots)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FF Member</w:t>
            </w:r>
          </w:p>
        </w:tc>
        <w:tc>
          <w:tcPr>
            <w:tcW w:w="604" w:type="pct"/>
            <w:vMerge w:val="continue"/>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c>
          <w:tcPr>
            <w:tcW w:w="453"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sz w:val="22"/>
                <w:szCs w:val="22"/>
              </w:rPr>
              <w:t>Non-FF Member</w:t>
            </w:r>
          </w:p>
        </w:tc>
        <w:tc>
          <w:tcPr>
            <w:tcW w:w="454"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Client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aluminum oxide</w:t>
            </w:r>
          </w:p>
        </w:tc>
        <w:tc>
          <w:tcPr>
            <w:tcW w:w="453"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528" w:type="pct"/>
            <w:vMerge w:val="restart"/>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25</w:t>
            </w: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w:t>
            </w:r>
            <w:r>
              <w:rPr>
                <w:rFonts w:hint="eastAsia"/>
                <w:bCs/>
                <w:sz w:val="22"/>
                <w:szCs w:val="22"/>
              </w:rPr>
              <w:t>5</w:t>
            </w:r>
            <w:r>
              <w:rPr>
                <w:bCs/>
                <w:sz w:val="22"/>
                <w:szCs w:val="22"/>
              </w:rPr>
              <w:t>0,000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bCs/>
                <w:sz w:val="22"/>
                <w:szCs w:val="22"/>
              </w:rPr>
              <w:t>10</w:t>
            </w:r>
          </w:p>
        </w:tc>
        <w:tc>
          <w:tcPr>
            <w:tcW w:w="529"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1,800</w:t>
            </w:r>
          </w:p>
        </w:tc>
        <w:tc>
          <w:tcPr>
            <w:tcW w:w="453" w:type="pct"/>
            <w:vMerge w:val="restar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c>
          <w:tcPr>
            <w:tcW w:w="454" w:type="pct"/>
            <w:vMerge w:val="restar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 w:hRule="atLeast"/>
        </w:trPr>
        <w:tc>
          <w:tcPr>
            <w:tcW w:w="54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528" w:type="pct"/>
            <w:vMerge w:val="continue"/>
            <w:tcBorders>
              <w:top w:val="single" w:color="auto" w:sz="6" w:space="0"/>
              <w:left w:val="single" w:color="auto" w:sz="6"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p>
        </w:tc>
        <w:tc>
          <w:tcPr>
            <w:tcW w:w="604" w:type="pct"/>
            <w:tcBorders>
              <w:top w:val="single" w:color="auto" w:sz="6" w:space="0"/>
              <w:left w:val="single" w:color="auto" w:sz="4" w:space="0"/>
              <w:bottom w:val="single" w:color="auto" w:sz="6" w:space="0"/>
              <w:right w:val="single" w:color="auto" w:sz="4"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＜5</w:t>
            </w:r>
            <w:r>
              <w:rPr>
                <w:bCs/>
                <w:sz w:val="22"/>
                <w:szCs w:val="22"/>
              </w:rPr>
              <w:t>0,000</w:t>
            </w:r>
          </w:p>
        </w:tc>
        <w:tc>
          <w:tcPr>
            <w:tcW w:w="529" w:type="pct"/>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5</w:t>
            </w:r>
            <w:r>
              <w:rPr>
                <w:bCs/>
                <w:sz w:val="22"/>
                <w:szCs w:val="22"/>
              </w:rPr>
              <w:t>,000</w:t>
            </w:r>
          </w:p>
        </w:tc>
        <w:tc>
          <w:tcPr>
            <w:tcW w:w="453" w:type="pct"/>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r>
              <w:rPr>
                <w:rFonts w:hint="eastAsia"/>
                <w:bCs/>
                <w:sz w:val="22"/>
                <w:szCs w:val="22"/>
              </w:rPr>
              <w:t>5</w:t>
            </w:r>
            <w:r>
              <w:rPr>
                <w:bCs/>
                <w:sz w:val="22"/>
                <w:szCs w:val="22"/>
              </w:rPr>
              <w:t>,000</w:t>
            </w:r>
          </w:p>
        </w:tc>
        <w:tc>
          <w:tcPr>
            <w:tcW w:w="529"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3" w:type="pct"/>
            <w:vMerge w:val="continue"/>
            <w:tcBorders>
              <w:top w:val="single" w:color="auto" w:sz="6" w:space="0"/>
              <w:left w:val="single" w:color="auto" w:sz="4"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c>
          <w:tcPr>
            <w:tcW w:w="454" w:type="pct"/>
            <w:vMerge w:val="continue"/>
            <w:tcBorders>
              <w:top w:val="single" w:color="auto" w:sz="6" w:space="0"/>
              <w:left w:val="single" w:color="auto" w:sz="6" w:space="0"/>
              <w:bottom w:val="single" w:color="auto" w:sz="6" w:space="0"/>
              <w:right w:val="single" w:color="auto" w:sz="6" w:space="0"/>
            </w:tcBorders>
            <w:vAlign w:val="center"/>
          </w:tcPr>
          <w:p>
            <w:pPr>
              <w:tabs>
                <w:tab w:val="left" w:pos="1204"/>
              </w:tabs>
              <w:adjustRightInd w:val="0"/>
              <w:snapToGrid w:val="0"/>
              <w:spacing w:after="312" w:afterLines="100" w:line="276" w:lineRule="auto"/>
              <w:jc w:val="left"/>
              <w:rPr>
                <w:bCs/>
                <w:sz w:val="22"/>
                <w:szCs w:val="22"/>
              </w:rPr>
            </w:pPr>
          </w:p>
        </w:tc>
      </w:tr>
    </w:tbl>
    <w:p>
      <w:pPr>
        <w:tabs>
          <w:tab w:val="left" w:pos="1204"/>
        </w:tabs>
        <w:adjustRightInd w:val="0"/>
        <w:snapToGrid w:val="0"/>
        <w:spacing w:after="312" w:afterLines="100"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47</w:t>
      </w:r>
      <w:r>
        <w:rPr>
          <w:bCs/>
          <w:sz w:val="22"/>
          <w:szCs w:val="22"/>
        </w:rPr>
        <w:tab/>
      </w:r>
      <w:r>
        <w:rPr>
          <w:bCs/>
          <w:sz w:val="22"/>
          <w:szCs w:val="22"/>
        </w:rPr>
        <w:t xml:space="preserve">For contracts in aluminum oxide futures, by the close of the last trading day of the month prior to the delivery month, each Member or each Client shall adjust their speculative positions held through the Member, to multiples of </w:t>
      </w:r>
      <w:r>
        <w:rPr>
          <w:rFonts w:hint="eastAsia"/>
          <w:bCs/>
          <w:sz w:val="22"/>
          <w:szCs w:val="22"/>
        </w:rPr>
        <w:t>fifteen</w:t>
      </w:r>
      <w:r>
        <w:rPr>
          <w:bCs/>
          <w:sz w:val="22"/>
          <w:szCs w:val="22"/>
        </w:rPr>
        <w:t xml:space="preserve"> (</w:t>
      </w:r>
      <w:r>
        <w:rPr>
          <w:rFonts w:hint="eastAsia"/>
          <w:bCs/>
          <w:sz w:val="22"/>
          <w:szCs w:val="22"/>
        </w:rPr>
        <w:t>1</w:t>
      </w:r>
      <w:r>
        <w:rPr>
          <w:bCs/>
          <w:sz w:val="22"/>
          <w:szCs w:val="22"/>
        </w:rPr>
        <w:t xml:space="preserve">5) lots and a one-day delay is allowed under special market conditions; in the delivery month, the speculative positions as well as newly opened and closed-out positions shall be held in multiples of </w:t>
      </w:r>
      <w:r>
        <w:rPr>
          <w:rFonts w:hint="eastAsia"/>
          <w:bCs/>
          <w:sz w:val="22"/>
          <w:szCs w:val="22"/>
        </w:rPr>
        <w:t>fifteen</w:t>
      </w:r>
      <w:r>
        <w:rPr>
          <w:bCs/>
          <w:sz w:val="22"/>
          <w:szCs w:val="22"/>
        </w:rPr>
        <w:t xml:space="preserve"> (</w:t>
      </w:r>
      <w:r>
        <w:rPr>
          <w:rFonts w:hint="eastAsia"/>
          <w:bCs/>
          <w:sz w:val="22"/>
          <w:szCs w:val="22"/>
        </w:rPr>
        <w:t>1</w:t>
      </w:r>
      <w:r>
        <w:rPr>
          <w:bCs/>
          <w:sz w:val="22"/>
          <w:szCs w:val="22"/>
        </w:rPr>
        <w:t xml:space="preserve">5) lots. </w:t>
      </w:r>
    </w:p>
    <w:p>
      <w:pPr>
        <w:tabs>
          <w:tab w:val="left" w:pos="1204"/>
        </w:tabs>
        <w:adjustRightInd w:val="0"/>
        <w:snapToGrid w:val="0"/>
        <w:spacing w:after="312" w:afterLines="100" w:line="276" w:lineRule="auto"/>
        <w:jc w:val="left"/>
        <w:rPr>
          <w:bCs/>
          <w:sz w:val="22"/>
          <w:szCs w:val="22"/>
        </w:rPr>
      </w:pPr>
      <w:r>
        <w:rPr>
          <w:b/>
          <w:sz w:val="22"/>
          <w:szCs w:val="22"/>
        </w:rPr>
        <w:t xml:space="preserve">Article </w:t>
      </w:r>
      <w:r>
        <w:rPr>
          <w:rFonts w:hint="eastAsia"/>
          <w:b/>
          <w:sz w:val="22"/>
          <w:szCs w:val="22"/>
        </w:rPr>
        <w:t>48</w:t>
      </w:r>
      <w:r>
        <w:rPr>
          <w:bCs/>
          <w:sz w:val="22"/>
          <w:szCs w:val="22"/>
        </w:rPr>
        <w:tab/>
      </w:r>
      <w:r>
        <w:rPr>
          <w:bCs/>
          <w:sz w:val="22"/>
          <w:szCs w:val="22"/>
        </w:rPr>
        <w:t>If the Exchange makes a forced position reduction</w:t>
      </w:r>
      <w:r>
        <w:rPr>
          <w:rFonts w:hint="eastAsia"/>
          <w:bCs/>
          <w:sz w:val="22"/>
          <w:szCs w:val="22"/>
        </w:rPr>
        <w:t xml:space="preserve"> to an aluminum oxide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pPr>
        <w:tabs>
          <w:tab w:val="left" w:pos="709"/>
        </w:tabs>
        <w:adjustRightInd w:val="0"/>
        <w:snapToGrid w:val="0"/>
        <w:spacing w:after="312" w:afterLines="100" w:line="276"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aluminum oxide</w:t>
      </w:r>
      <w:r>
        <w:rPr>
          <w:bCs/>
          <w:sz w:val="22"/>
          <w:szCs w:val="22"/>
        </w:rPr>
        <w:t xml:space="preserve"> futures contracts, of the settlement price of the base date.</w:t>
      </w:r>
    </w:p>
    <w:p>
      <w:pPr>
        <w:tabs>
          <w:tab w:val="left" w:pos="709"/>
        </w:tabs>
        <w:adjustRightInd w:val="0"/>
        <w:snapToGrid w:val="0"/>
        <w:spacing w:after="312" w:afterLines="100" w:line="276"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w:t>
      </w:r>
      <w:r>
        <w:t xml:space="preserve"> </w:t>
      </w:r>
      <w:r>
        <w:rPr>
          <w:bCs/>
          <w:sz w:val="22"/>
          <w:szCs w:val="22"/>
        </w:rPr>
        <w:t>stipulated in the Risk Management Rules of the Shanghai Futures Exchange, records average gains for speculative purposes or for hedging purposes at no less than six percent (6%).</w:t>
      </w:r>
    </w:p>
    <w:p>
      <w:pPr>
        <w:tabs>
          <w:tab w:val="left" w:pos="709"/>
        </w:tabs>
        <w:adjustRightInd w:val="0"/>
        <w:snapToGrid w:val="0"/>
        <w:spacing w:after="312" w:afterLines="100" w:line="276" w:lineRule="auto"/>
        <w:jc w:val="left"/>
        <w:rPr>
          <w:bCs/>
          <w:sz w:val="22"/>
          <w:szCs w:val="22"/>
        </w:rPr>
      </w:pPr>
      <w:r>
        <w:rPr>
          <w:rFonts w:hint="eastAsia"/>
          <w:bCs/>
          <w:sz w:val="22"/>
          <w:szCs w:val="22"/>
        </w:rPr>
        <w:t>(iii)</w:t>
      </w:r>
      <w:r>
        <w:rPr>
          <w:bCs/>
          <w:sz w:val="22"/>
          <w:szCs w:val="22"/>
        </w:rPr>
        <w:tab/>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pPr>
        <w:tabs>
          <w:tab w:val="left" w:pos="775"/>
        </w:tabs>
        <w:adjustRightInd w:val="0"/>
        <w:snapToGrid w:val="0"/>
        <w:spacing w:after="312" w:afterLines="100" w:line="276"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aluminum oxide futures</w:t>
      </w:r>
      <w:r>
        <w:rPr>
          <w:rFonts w:hint="eastAsia"/>
          <w:bCs/>
          <w:sz w:val="22"/>
          <w:szCs w:val="22"/>
        </w:rPr>
        <w:t>,</w:t>
      </w:r>
      <w:r>
        <w:rPr>
          <w:bCs/>
          <w:sz w:val="22"/>
          <w:szCs w:val="22"/>
        </w:rPr>
        <w:t xml:space="preserve"> or the Speculative Position Gains of Over 6%; </w:t>
      </w:r>
    </w:p>
    <w:p>
      <w:pPr>
        <w:tabs>
          <w:tab w:val="left" w:pos="775"/>
        </w:tabs>
        <w:adjustRightInd w:val="0"/>
        <w:snapToGrid w:val="0"/>
        <w:spacing w:after="312" w:afterLines="100" w:line="276"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aluminum oxide futures, or the Speculative Position Gains of Over 3%</w:t>
      </w:r>
      <w:r>
        <w:rPr>
          <w:rFonts w:hint="eastAsia"/>
          <w:bCs/>
          <w:sz w:val="22"/>
          <w:szCs w:val="22"/>
        </w:rPr>
        <w:t>;</w:t>
      </w:r>
    </w:p>
    <w:p>
      <w:pPr>
        <w:tabs>
          <w:tab w:val="left" w:pos="775"/>
        </w:tabs>
        <w:adjustRightInd w:val="0"/>
        <w:snapToGrid w:val="0"/>
        <w:spacing w:after="312" w:afterLines="100" w:line="276"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aluminum oxide futures, or the Speculative Position Gains Below 3%; and</w:t>
      </w:r>
    </w:p>
    <w:p>
      <w:pPr>
        <w:tabs>
          <w:tab w:val="left" w:pos="775"/>
        </w:tabs>
        <w:adjustRightInd w:val="0"/>
        <w:snapToGrid w:val="0"/>
        <w:spacing w:after="312" w:afterLines="100"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aluminum oxide futures</w:t>
      </w:r>
      <w:r>
        <w:rPr>
          <w:rFonts w:hint="eastAsia"/>
          <w:bCs/>
          <w:sz w:val="22"/>
          <w:szCs w:val="22"/>
        </w:rPr>
        <w:t>,</w:t>
      </w:r>
      <w:r>
        <w:rPr>
          <w:bCs/>
          <w:sz w:val="22"/>
          <w:szCs w:val="22"/>
        </w:rPr>
        <w:t xml:space="preserve"> or the Hedging Position Gains of Over 6%.</w:t>
      </w:r>
    </w:p>
    <w:p>
      <w:pPr>
        <w:tabs>
          <w:tab w:val="left" w:pos="709"/>
        </w:tabs>
        <w:adjustRightInd w:val="0"/>
        <w:snapToGrid w:val="0"/>
        <w:spacing w:after="312" w:afterLines="100" w:line="276" w:lineRule="auto"/>
        <w:jc w:val="left"/>
        <w:rPr>
          <w:bCs/>
          <w:sz w:val="22"/>
          <w:szCs w:val="22"/>
        </w:rPr>
      </w:pPr>
      <w:r>
        <w:rPr>
          <w:rFonts w:hint="eastAsia"/>
          <w:bCs/>
          <w:sz w:val="22"/>
          <w:szCs w:val="22"/>
        </w:rPr>
        <w:t>(iv)</w:t>
      </w:r>
      <w:r>
        <w:rPr>
          <w:bCs/>
          <w:sz w:val="22"/>
          <w:szCs w:val="22"/>
        </w:rPr>
        <w:tab/>
      </w:r>
      <w:r>
        <w:rPr>
          <w:bCs/>
          <w:sz w:val="22"/>
          <w:szCs w:val="22"/>
        </w:rPr>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701"/>
        </w:tabs>
        <w:adjustRightInd w:val="0"/>
        <w:snapToGrid w:val="0"/>
        <w:spacing w:after="312" w:afterLines="100" w:line="276" w:lineRule="auto"/>
        <w:jc w:val="center"/>
        <w:rPr>
          <w:b/>
          <w:bCs/>
          <w:sz w:val="22"/>
          <w:szCs w:val="22"/>
        </w:rPr>
      </w:pPr>
      <w:r>
        <w:rPr>
          <w:b/>
          <w:sz w:val="22"/>
          <w:szCs w:val="22"/>
        </w:rPr>
        <w:t xml:space="preserve">CHAPTER </w:t>
      </w:r>
      <w:r>
        <w:rPr>
          <w:rFonts w:hint="eastAsia"/>
          <w:b/>
          <w:sz w:val="22"/>
          <w:szCs w:val="22"/>
        </w:rPr>
        <w:t>5</w:t>
      </w:r>
      <w:r>
        <w:rPr>
          <w:b/>
          <w:bCs/>
          <w:sz w:val="22"/>
          <w:szCs w:val="22"/>
        </w:rPr>
        <w:tab/>
      </w:r>
      <w:r>
        <w:rPr>
          <w:b/>
          <w:bCs/>
          <w:sz w:val="22"/>
          <w:szCs w:val="22"/>
        </w:rPr>
        <w:t>MISCELLANEOUS</w:t>
      </w:r>
    </w:p>
    <w:p>
      <w:pPr>
        <w:tabs>
          <w:tab w:val="left" w:pos="775"/>
        </w:tabs>
        <w:adjustRightInd w:val="0"/>
        <w:snapToGrid w:val="0"/>
        <w:spacing w:after="312" w:afterLines="100" w:line="276" w:lineRule="auto"/>
        <w:jc w:val="left"/>
        <w:rPr>
          <w:bCs/>
          <w:iCs/>
          <w:sz w:val="22"/>
          <w:szCs w:val="22"/>
        </w:rPr>
      </w:pPr>
      <w:r>
        <w:rPr>
          <w:b/>
          <w:bCs/>
          <w:sz w:val="22"/>
          <w:szCs w:val="22"/>
        </w:rPr>
        <w:t xml:space="preserve">Article </w:t>
      </w:r>
      <w:r>
        <w:rPr>
          <w:rFonts w:hint="eastAsia"/>
          <w:b/>
          <w:bCs/>
          <w:sz w:val="22"/>
          <w:szCs w:val="22"/>
        </w:rPr>
        <w:t>49</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50</w:t>
      </w:r>
      <w:r>
        <w:rPr>
          <w:bCs/>
          <w:sz w:val="22"/>
          <w:szCs w:val="22"/>
        </w:rPr>
        <w:tab/>
      </w:r>
      <w:r>
        <w:rPr>
          <w:rFonts w:eastAsia="等线"/>
          <w:snapToGrid w:val="0"/>
          <w:kern w:val="22"/>
          <w:sz w:val="22"/>
        </w:rPr>
        <w:t>Any violation</w:t>
      </w:r>
      <w:r>
        <w:rPr>
          <w:rFonts w:hint="eastAsia" w:eastAsia="等线"/>
          <w:snapToGrid w:val="0"/>
          <w:kern w:val="22"/>
          <w:sz w:val="22"/>
        </w:rPr>
        <w:t>s</w:t>
      </w:r>
      <w:r>
        <w:rPr>
          <w:rFonts w:eastAsia="等线"/>
          <w:snapToGrid w:val="0"/>
          <w:kern w:val="22"/>
          <w:sz w:val="22"/>
        </w:rPr>
        <w:t xml:space="preserve"> of these </w:t>
      </w:r>
      <w:r>
        <w:rPr>
          <w:i/>
          <w:sz w:val="22"/>
          <w:szCs w:val="22"/>
        </w:rPr>
        <w:t xml:space="preserve">Aluminum </w:t>
      </w:r>
      <w:r>
        <w:rPr>
          <w:rFonts w:hint="eastAsia"/>
          <w:i/>
          <w:sz w:val="22"/>
          <w:szCs w:val="22"/>
        </w:rPr>
        <w:t>O</w:t>
      </w:r>
      <w:r>
        <w:rPr>
          <w:i/>
          <w:sz w:val="22"/>
          <w:szCs w:val="22"/>
        </w:rPr>
        <w:t>xide Futures Rules</w:t>
      </w:r>
      <w:r>
        <w:rPr>
          <w:rFonts w:eastAsia="等线"/>
          <w:i/>
          <w:iCs/>
          <w:snapToGrid w:val="0"/>
          <w:kern w:val="22"/>
          <w:sz w:val="22"/>
        </w:rPr>
        <w:t xml:space="preserve"> </w:t>
      </w:r>
      <w:r>
        <w:rPr>
          <w:rFonts w:hint="eastAsia"/>
          <w:sz w:val="22"/>
        </w:rPr>
        <w:t xml:space="preserve">will be handled by the Exchange in accordance with the </w:t>
      </w:r>
      <w:r>
        <w:rPr>
          <w:rFonts w:hint="eastAsia"/>
          <w:i/>
          <w:iCs/>
          <w:sz w:val="22"/>
        </w:rPr>
        <w:t>Enforcement Rules of the Shanghai Futures Exchange</w:t>
      </w:r>
      <w:r>
        <w:rPr>
          <w:rFonts w:hint="eastAsia"/>
          <w:sz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51</w:t>
      </w:r>
      <w:r>
        <w:rPr>
          <w:bCs/>
          <w:sz w:val="22"/>
          <w:szCs w:val="22"/>
        </w:rPr>
        <w:tab/>
      </w:r>
      <w:r>
        <w:rPr>
          <w:bCs/>
          <w:sz w:val="22"/>
          <w:szCs w:val="22"/>
        </w:rPr>
        <w:t xml:space="preserve">The Exchange reserves the right to interpret these </w:t>
      </w:r>
      <w:r>
        <w:rPr>
          <w:i/>
          <w:sz w:val="22"/>
          <w:szCs w:val="22"/>
        </w:rPr>
        <w:t xml:space="preserve">Aluminum </w:t>
      </w:r>
      <w:r>
        <w:rPr>
          <w:rFonts w:hint="eastAsia"/>
          <w:i/>
          <w:sz w:val="22"/>
          <w:szCs w:val="22"/>
        </w:rPr>
        <w:t>O</w:t>
      </w:r>
      <w:r>
        <w:rPr>
          <w:i/>
          <w:sz w:val="22"/>
          <w:szCs w:val="22"/>
        </w:rPr>
        <w:t>xide Futures Rules</w:t>
      </w:r>
      <w:r>
        <w:rPr>
          <w:bCs/>
          <w:sz w:val="22"/>
          <w:szCs w:val="22"/>
        </w:rPr>
        <w:t>.</w:t>
      </w:r>
    </w:p>
    <w:p>
      <w:pPr>
        <w:tabs>
          <w:tab w:val="left" w:pos="775"/>
        </w:tabs>
        <w:adjustRightInd w:val="0"/>
        <w:snapToGrid w:val="0"/>
        <w:spacing w:after="312" w:afterLines="100" w:line="276" w:lineRule="auto"/>
        <w:jc w:val="left"/>
        <w:rPr>
          <w:bCs/>
          <w:sz w:val="22"/>
          <w:szCs w:val="22"/>
        </w:rPr>
      </w:pPr>
      <w:r>
        <w:rPr>
          <w:b/>
          <w:bCs/>
          <w:sz w:val="22"/>
          <w:szCs w:val="22"/>
        </w:rPr>
        <w:t xml:space="preserve">Article </w:t>
      </w:r>
      <w:r>
        <w:rPr>
          <w:rFonts w:hint="eastAsia"/>
          <w:b/>
          <w:bCs/>
          <w:sz w:val="22"/>
          <w:szCs w:val="22"/>
        </w:rPr>
        <w:t>52</w:t>
      </w:r>
      <w:r>
        <w:rPr>
          <w:bCs/>
          <w:sz w:val="22"/>
          <w:szCs w:val="22"/>
        </w:rPr>
        <w:tab/>
      </w:r>
      <w:r>
        <w:rPr>
          <w:bCs/>
          <w:sz w:val="22"/>
          <w:szCs w:val="22"/>
        </w:rPr>
        <w:t xml:space="preserve">These </w:t>
      </w:r>
      <w:r>
        <w:rPr>
          <w:i/>
          <w:sz w:val="22"/>
          <w:szCs w:val="22"/>
        </w:rPr>
        <w:t xml:space="preserve">Aluminum </w:t>
      </w:r>
      <w:r>
        <w:rPr>
          <w:rFonts w:hint="eastAsia"/>
          <w:i/>
          <w:sz w:val="22"/>
          <w:szCs w:val="22"/>
        </w:rPr>
        <w:t>O</w:t>
      </w:r>
      <w:r>
        <w:rPr>
          <w:i/>
          <w:sz w:val="22"/>
          <w:szCs w:val="22"/>
        </w:rPr>
        <w:t>xide Futures Rules</w:t>
      </w:r>
      <w:r>
        <w:rPr>
          <w:bCs/>
          <w:sz w:val="22"/>
          <w:szCs w:val="22"/>
        </w:rPr>
        <w:t xml:space="preserve"> </w:t>
      </w:r>
      <w:r>
        <w:rPr>
          <w:rFonts w:hint="eastAsia"/>
          <w:bCs/>
          <w:sz w:val="22"/>
          <w:szCs w:val="22"/>
        </w:rPr>
        <w:t xml:space="preserve">take effect on </w:t>
      </w:r>
      <w:r>
        <w:rPr>
          <w:bCs/>
          <w:sz w:val="22"/>
          <w:szCs w:val="22"/>
        </w:rPr>
        <w:t>October 23, 2024</w:t>
      </w:r>
      <w:r>
        <w:rPr>
          <w:rFonts w:hint="eastAsia"/>
          <w:bCs/>
          <w:sz w:val="22"/>
          <w:szCs w:val="22"/>
        </w:rPr>
        <w:t>.</w:t>
      </w:r>
    </w:p>
    <w:p>
      <w:pPr>
        <w:tabs>
          <w:tab w:val="left" w:pos="775"/>
        </w:tabs>
        <w:adjustRightInd w:val="0"/>
        <w:snapToGrid w:val="0"/>
        <w:spacing w:after="312" w:afterLines="100" w:line="276" w:lineRule="auto"/>
        <w:jc w:val="left"/>
        <w:rPr>
          <w:bCs/>
          <w:sz w:val="22"/>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方正仿宋简体">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606812"/>
      <w:docPartObj>
        <w:docPartGallery w:val="AutoText"/>
      </w:docPartObj>
    </w:sdtPr>
    <w:sdtEndPr>
      <w:rPr>
        <w:sz w:val="20"/>
        <w:szCs w:val="20"/>
      </w:rPr>
    </w:sdtEndPr>
    <w:sdtContent>
      <w:p>
        <w:pPr>
          <w:pStyle w:val="4"/>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20</w:t>
        </w:r>
        <w:r>
          <w:rPr>
            <w:sz w:val="20"/>
            <w:szCs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1256F"/>
    <w:rsid w:val="000164BC"/>
    <w:rsid w:val="00020E07"/>
    <w:rsid w:val="000C5C46"/>
    <w:rsid w:val="000C7E93"/>
    <w:rsid w:val="000D344D"/>
    <w:rsid w:val="000E1A68"/>
    <w:rsid w:val="000E3652"/>
    <w:rsid w:val="0010423E"/>
    <w:rsid w:val="0011710E"/>
    <w:rsid w:val="00131FE6"/>
    <w:rsid w:val="00134FBB"/>
    <w:rsid w:val="00155D27"/>
    <w:rsid w:val="00175E89"/>
    <w:rsid w:val="001E14F8"/>
    <w:rsid w:val="001E254B"/>
    <w:rsid w:val="00220A48"/>
    <w:rsid w:val="00226E3B"/>
    <w:rsid w:val="002341AB"/>
    <w:rsid w:val="0027521C"/>
    <w:rsid w:val="0029383D"/>
    <w:rsid w:val="002B0829"/>
    <w:rsid w:val="002B241E"/>
    <w:rsid w:val="002B647D"/>
    <w:rsid w:val="002C4740"/>
    <w:rsid w:val="002D503B"/>
    <w:rsid w:val="002E42C5"/>
    <w:rsid w:val="002F76A3"/>
    <w:rsid w:val="0030766B"/>
    <w:rsid w:val="0032403F"/>
    <w:rsid w:val="00325926"/>
    <w:rsid w:val="003333DE"/>
    <w:rsid w:val="00353B5B"/>
    <w:rsid w:val="003647AB"/>
    <w:rsid w:val="0039663E"/>
    <w:rsid w:val="003B1C01"/>
    <w:rsid w:val="003C12E0"/>
    <w:rsid w:val="003C2EDB"/>
    <w:rsid w:val="003D6543"/>
    <w:rsid w:val="003E6600"/>
    <w:rsid w:val="004108CB"/>
    <w:rsid w:val="004161A6"/>
    <w:rsid w:val="004218E5"/>
    <w:rsid w:val="004229D6"/>
    <w:rsid w:val="004257F7"/>
    <w:rsid w:val="00431FED"/>
    <w:rsid w:val="004502B3"/>
    <w:rsid w:val="0045174D"/>
    <w:rsid w:val="00474C7A"/>
    <w:rsid w:val="00477DB1"/>
    <w:rsid w:val="004876D7"/>
    <w:rsid w:val="004D18FE"/>
    <w:rsid w:val="004E05B4"/>
    <w:rsid w:val="004E1AD1"/>
    <w:rsid w:val="004E54F2"/>
    <w:rsid w:val="00504C18"/>
    <w:rsid w:val="005568FA"/>
    <w:rsid w:val="00564535"/>
    <w:rsid w:val="005653A1"/>
    <w:rsid w:val="0057417C"/>
    <w:rsid w:val="00575304"/>
    <w:rsid w:val="005B4DD4"/>
    <w:rsid w:val="005F24F3"/>
    <w:rsid w:val="005F5291"/>
    <w:rsid w:val="00623160"/>
    <w:rsid w:val="00655DCD"/>
    <w:rsid w:val="00664877"/>
    <w:rsid w:val="006A5C97"/>
    <w:rsid w:val="006B033B"/>
    <w:rsid w:val="006B3939"/>
    <w:rsid w:val="006C1A29"/>
    <w:rsid w:val="006C4790"/>
    <w:rsid w:val="00725481"/>
    <w:rsid w:val="00726D1E"/>
    <w:rsid w:val="00740C24"/>
    <w:rsid w:val="00744565"/>
    <w:rsid w:val="00753B4D"/>
    <w:rsid w:val="007928E9"/>
    <w:rsid w:val="007B10E6"/>
    <w:rsid w:val="007E1D77"/>
    <w:rsid w:val="007F1A32"/>
    <w:rsid w:val="00800E31"/>
    <w:rsid w:val="00806085"/>
    <w:rsid w:val="00844008"/>
    <w:rsid w:val="0086131A"/>
    <w:rsid w:val="00870FCF"/>
    <w:rsid w:val="0089322F"/>
    <w:rsid w:val="008B1B03"/>
    <w:rsid w:val="008E0BB1"/>
    <w:rsid w:val="008E690C"/>
    <w:rsid w:val="009021DB"/>
    <w:rsid w:val="00902FE8"/>
    <w:rsid w:val="00904619"/>
    <w:rsid w:val="00910DA9"/>
    <w:rsid w:val="00926AB5"/>
    <w:rsid w:val="00940ACF"/>
    <w:rsid w:val="009505B2"/>
    <w:rsid w:val="009520AE"/>
    <w:rsid w:val="00961700"/>
    <w:rsid w:val="00980968"/>
    <w:rsid w:val="009C0558"/>
    <w:rsid w:val="009F3255"/>
    <w:rsid w:val="00A07083"/>
    <w:rsid w:val="00A13328"/>
    <w:rsid w:val="00A1384D"/>
    <w:rsid w:val="00A201E7"/>
    <w:rsid w:val="00A25445"/>
    <w:rsid w:val="00A25643"/>
    <w:rsid w:val="00A60356"/>
    <w:rsid w:val="00A66DEF"/>
    <w:rsid w:val="00A72A7A"/>
    <w:rsid w:val="00A86874"/>
    <w:rsid w:val="00AB370C"/>
    <w:rsid w:val="00AD4023"/>
    <w:rsid w:val="00AD5AE2"/>
    <w:rsid w:val="00B0792F"/>
    <w:rsid w:val="00B2706B"/>
    <w:rsid w:val="00B32A0C"/>
    <w:rsid w:val="00B728AE"/>
    <w:rsid w:val="00B9208B"/>
    <w:rsid w:val="00BB2D04"/>
    <w:rsid w:val="00BB37F4"/>
    <w:rsid w:val="00BB7479"/>
    <w:rsid w:val="00BC1957"/>
    <w:rsid w:val="00C41252"/>
    <w:rsid w:val="00CC1932"/>
    <w:rsid w:val="00CD7A27"/>
    <w:rsid w:val="00D23B88"/>
    <w:rsid w:val="00D7475A"/>
    <w:rsid w:val="00D749E7"/>
    <w:rsid w:val="00DC594F"/>
    <w:rsid w:val="00DF7082"/>
    <w:rsid w:val="00E070D0"/>
    <w:rsid w:val="00E23361"/>
    <w:rsid w:val="00E369E7"/>
    <w:rsid w:val="00E93D15"/>
    <w:rsid w:val="00EA7A3B"/>
    <w:rsid w:val="00ED68CF"/>
    <w:rsid w:val="00EF2E2B"/>
    <w:rsid w:val="00F05C18"/>
    <w:rsid w:val="00F234F2"/>
    <w:rsid w:val="00F34E3C"/>
    <w:rsid w:val="00F61BA8"/>
    <w:rsid w:val="00F65D32"/>
    <w:rsid w:val="00F7531B"/>
    <w:rsid w:val="00F91936"/>
    <w:rsid w:val="00FB7CFD"/>
    <w:rsid w:val="00FC67DC"/>
    <w:rsid w:val="00FD751F"/>
    <w:rsid w:val="5BAFE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link w:val="13"/>
    <w:semiHidden/>
    <w:unhideWhenUsed/>
    <w:qFormat/>
    <w:uiPriority w:val="99"/>
    <w:pPr>
      <w:spacing w:after="160"/>
    </w:pPr>
    <w:rPr>
      <w:rFonts w:ascii="等线" w:hAnsi="等线" w:eastAsia="等线" w:cs="Arial"/>
      <w:kern w:val="0"/>
      <w:sz w:val="20"/>
      <w:szCs w:val="20"/>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pPr>
      <w:widowControl w:val="0"/>
      <w:spacing w:after="0"/>
    </w:pPr>
    <w:rPr>
      <w:rFonts w:ascii="Times New Roman" w:hAnsi="Times New Roman" w:eastAsia="宋体" w:cs="Times New Roman"/>
      <w:b/>
      <w:bCs/>
      <w:kern w:val="2"/>
      <w:sz w:val="21"/>
      <w:szCs w:val="21"/>
    </w:rPr>
  </w:style>
  <w:style w:type="character" w:styleId="9">
    <w:name w:val="annotation reference"/>
    <w:semiHidden/>
    <w:unhideWhenUsed/>
    <w:qFormat/>
    <w:uiPriority w:val="99"/>
    <w:rPr>
      <w:sz w:val="16"/>
      <w:szCs w:val="16"/>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字符"/>
    <w:basedOn w:val="8"/>
    <w:semiHidden/>
    <w:qFormat/>
    <w:uiPriority w:val="99"/>
    <w:rPr>
      <w:rFonts w:ascii="Times New Roman" w:hAnsi="Times New Roman" w:eastAsia="宋体" w:cs="Times New Roman"/>
      <w:szCs w:val="21"/>
    </w:rPr>
  </w:style>
  <w:style w:type="character" w:customStyle="1" w:styleId="13">
    <w:name w:val="批注文字 Char"/>
    <w:link w:val="2"/>
    <w:semiHidden/>
    <w:qFormat/>
    <w:uiPriority w:val="99"/>
    <w:rPr>
      <w:rFonts w:ascii="等线" w:hAnsi="等线" w:eastAsia="等线" w:cs="Arial"/>
      <w:kern w:val="0"/>
      <w:sz w:val="20"/>
      <w:szCs w:val="20"/>
    </w:rPr>
  </w:style>
  <w:style w:type="character" w:customStyle="1" w:styleId="14">
    <w:name w:val="批注主题 Char"/>
    <w:basedOn w:val="13"/>
    <w:link w:val="6"/>
    <w:semiHidden/>
    <w:qFormat/>
    <w:uiPriority w:val="99"/>
    <w:rPr>
      <w:rFonts w:ascii="Times New Roman" w:hAnsi="Times New Roman" w:eastAsia="宋体" w:cs="Times New Roman"/>
      <w:b/>
      <w:bCs/>
      <w:kern w:val="0"/>
      <w:sz w:val="20"/>
      <w:szCs w:val="21"/>
    </w:rPr>
  </w:style>
  <w:style w:type="paragraph" w:customStyle="1" w:styleId="15">
    <w:name w:val="Revision"/>
    <w:hidden/>
    <w:semiHidden/>
    <w:qFormat/>
    <w:uiPriority w:val="99"/>
    <w:rPr>
      <w:rFonts w:ascii="Times New Roman" w:hAnsi="Times New Roman" w:eastAsia="宋体" w:cs="Times New Roman"/>
      <w:kern w:val="2"/>
      <w:sz w:val="21"/>
      <w:szCs w:val="21"/>
      <w:lang w:val="en-US" w:eastAsia="zh-CN" w:bidi="ar-SA"/>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6979</Words>
  <Characters>39784</Characters>
  <Lines>331</Lines>
  <Paragraphs>93</Paragraphs>
  <TotalTime>23</TotalTime>
  <ScaleCrop>false</ScaleCrop>
  <LinksUpToDate>false</LinksUpToDate>
  <CharactersWithSpaces>46670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2024-08-05T10:11:00Z</dcterms:created>
  <dc:creator>Ubica</dc:creator>
  <cp:lastModifiedBy>guan.zhaohui</cp:lastModifiedBy>
  <dcterms:modified xsi:type="dcterms:W3CDTF">2024-10-22T14:03:45Z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C34223E03EB2DF8441401767322D8810</vt:lpwstr>
  </property>
</Properties>
</file>