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2"/>
          <w:szCs w:val="22"/>
        </w:rPr>
      </w:pPr>
      <w:bookmarkStart w:id="0" w:name="_GoBack"/>
      <w:bookmarkEnd w:id="0"/>
      <w:r>
        <w:rPr>
          <w:rFonts w:eastAsia="华文中宋"/>
          <w:b/>
          <w:sz w:val="22"/>
          <w:szCs w:val="22"/>
        </w:rPr>
        <w:t>WIRE ROD FUTURES RULES OF THE SHANGHAI FUTURES EXCHANGE</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 xml:space="preserve">Wire </w:t>
      </w:r>
      <w:r>
        <w:rPr>
          <w:rFonts w:hint="eastAsia"/>
          <w:i/>
          <w:sz w:val="22"/>
          <w:szCs w:val="22"/>
        </w:rPr>
        <w:t>R</w:t>
      </w:r>
      <w:r>
        <w:rPr>
          <w:i/>
          <w:sz w:val="22"/>
          <w:szCs w:val="22"/>
        </w:rPr>
        <w:t>od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Wire </w:t>
      </w:r>
      <w:r>
        <w:rPr>
          <w:rFonts w:hint="eastAsia"/>
          <w:i/>
          <w:iCs/>
          <w:sz w:val="22"/>
          <w:szCs w:val="22"/>
        </w:rPr>
        <w:t>R</w:t>
      </w:r>
      <w:r>
        <w:rPr>
          <w:i/>
          <w:iCs/>
          <w:sz w:val="22"/>
          <w:szCs w:val="22"/>
        </w:rPr>
        <w:t xml:space="preserve">od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wire rod</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 xml:space="preserve">Wire </w:t>
      </w:r>
      <w:r>
        <w:rPr>
          <w:rFonts w:hint="eastAsia"/>
          <w:i/>
          <w:sz w:val="22"/>
          <w:szCs w:val="22"/>
        </w:rPr>
        <w:t>R</w:t>
      </w:r>
      <w:r>
        <w:rPr>
          <w:i/>
          <w:sz w:val="22"/>
          <w:szCs w:val="22"/>
        </w:rPr>
        <w:t>od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wire rod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wire rod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wire rod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 wire rod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wire rod </w:t>
      </w:r>
      <w:r>
        <w:rPr>
          <w:rFonts w:hint="eastAsia"/>
          <w:sz w:val="22"/>
          <w:szCs w:val="22"/>
        </w:rPr>
        <w:t>futures is WR.</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wire rod</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 wire rod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 wire rod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wire rod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 </w:t>
      </w:r>
      <w:r>
        <w:rPr>
          <w:rFonts w:hint="eastAsia"/>
          <w:sz w:val="22"/>
          <w:szCs w:val="22"/>
        </w:rPr>
        <w:t>wire rod</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widowControl/>
        <w:tabs>
          <w:tab w:val="left" w:pos="1560"/>
        </w:tabs>
        <w:adjustRightInd w:val="0"/>
        <w:snapToGrid w:val="0"/>
        <w:spacing w:before="468" w:beforeLines="150" w:after="312" w:afterLines="100" w:line="276" w:lineRule="auto"/>
        <w:jc w:val="center"/>
        <w:rPr>
          <w:b/>
          <w:sz w:val="22"/>
          <w:szCs w:val="22"/>
        </w:rPr>
      </w:pPr>
      <w:r>
        <w:rPr>
          <w:rFonts w:hint="eastAsia"/>
          <w:b/>
          <w:sz w:val="22"/>
          <w:szCs w:val="22"/>
        </w:rPr>
        <w:t>SECTION 1 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wire rod futures contract </w:t>
      </w:r>
      <w:r>
        <w:rPr>
          <w:sz w:val="22"/>
          <w:szCs w:val="22"/>
        </w:rPr>
        <w:t>may be physically delivered through an Exchange of Futures for Physicals (“EFP”)</w:t>
      </w:r>
      <w:r>
        <w:rPr>
          <w:rFonts w:hint="eastAsia"/>
          <w:sz w:val="22"/>
          <w:szCs w:val="22"/>
        </w:rPr>
        <w:t>, a delivery warehouse, or a delivery factory.</w:t>
      </w:r>
    </w:p>
    <w:p>
      <w:pPr>
        <w:tabs>
          <w:tab w:val="left" w:pos="1204"/>
        </w:tabs>
        <w:adjustRightInd w:val="0"/>
        <w:snapToGrid w:val="0"/>
        <w:spacing w:after="312" w:afterLines="100" w:line="276" w:lineRule="auto"/>
        <w:jc w:val="left"/>
        <w:rPr>
          <w:sz w:val="22"/>
          <w:szCs w:val="22"/>
        </w:rPr>
      </w:pPr>
      <w:r>
        <w:rPr>
          <w:sz w:val="22"/>
          <w:szCs w:val="22"/>
        </w:rPr>
        <w:t>W</w:t>
      </w:r>
      <w:r>
        <w:rPr>
          <w:rFonts w:hint="eastAsia"/>
          <w:sz w:val="22"/>
          <w:szCs w:val="22"/>
        </w:rPr>
        <w:t>ire rod</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Wire </w:t>
      </w:r>
      <w:r>
        <w:rPr>
          <w:rFonts w:hint="eastAsia"/>
          <w:i/>
          <w:iCs/>
          <w:sz w:val="22"/>
          <w:szCs w:val="22"/>
        </w:rPr>
        <w:t>R</w:t>
      </w:r>
      <w:r>
        <w:rPr>
          <w:i/>
          <w:iCs/>
          <w:sz w:val="22"/>
          <w:szCs w:val="22"/>
        </w:rPr>
        <w:t>od Futures Contract</w:t>
      </w:r>
      <w:r>
        <w:rPr>
          <w:rFonts w:hint="eastAsia"/>
          <w:i/>
          <w:iCs/>
          <w:sz w:val="22"/>
          <w:szCs w:val="22"/>
        </w:rPr>
        <w:t xml:space="preserve"> Specifications</w:t>
      </w:r>
      <w:r>
        <w:rPr>
          <w:sz w:val="22"/>
          <w:szCs w:val="22"/>
        </w:rPr>
        <w:t xml:space="preserve">. </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15</w:t>
      </w:r>
      <w:r>
        <w:rPr>
          <w:sz w:val="22"/>
        </w:rPr>
        <w:tab/>
      </w:r>
      <w:r>
        <w:rPr>
          <w:sz w:val="22"/>
        </w:rPr>
        <w:t xml:space="preserve">Quality specifications </w:t>
      </w:r>
    </w:p>
    <w:p>
      <w:pPr>
        <w:adjustRightInd w:val="0"/>
        <w:snapToGrid w:val="0"/>
        <w:spacing w:after="312" w:afterLines="100" w:line="276" w:lineRule="auto"/>
        <w:jc w:val="left"/>
        <w:rPr>
          <w:sz w:val="22"/>
        </w:rPr>
      </w:pPr>
      <w:r>
        <w:rPr>
          <w:sz w:val="22"/>
        </w:rPr>
        <w:t xml:space="preserve">The deliverable </w:t>
      </w:r>
      <w:r>
        <w:rPr>
          <w:rFonts w:hint="eastAsia"/>
          <w:sz w:val="22"/>
        </w:rPr>
        <w:t>wire rods</w:t>
      </w:r>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r>
        <w:rPr>
          <w:rFonts w:hint="eastAsia"/>
          <w:sz w:val="22"/>
        </w:rPr>
        <w:t xml:space="preserve"> </w:t>
      </w: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wire rods shall conform to</w:t>
      </w:r>
      <w:r>
        <w:rPr>
          <w:iCs/>
          <w:sz w:val="22"/>
        </w:rPr>
        <w:t xml:space="preserve"> the specifications of National Standard GB 1499.1-20</w:t>
      </w:r>
      <w:r>
        <w:rPr>
          <w:rFonts w:hint="eastAsia"/>
          <w:iCs/>
          <w:sz w:val="22"/>
        </w:rPr>
        <w:t>24</w:t>
      </w:r>
      <w:r>
        <w:rPr>
          <w:iCs/>
          <w:sz w:val="22"/>
        </w:rPr>
        <w:t xml:space="preserve">: </w:t>
      </w:r>
      <w:r>
        <w:rPr>
          <w:i/>
          <w:sz w:val="22"/>
        </w:rPr>
        <w:t>Steel for Reinforced Concrete, Part 1: Hot</w:t>
      </w:r>
      <w:r>
        <w:rPr>
          <w:rFonts w:hint="eastAsia"/>
          <w:i/>
          <w:sz w:val="22"/>
        </w:rPr>
        <w:t>-</w:t>
      </w:r>
      <w:r>
        <w:rPr>
          <w:i/>
          <w:sz w:val="22"/>
        </w:rPr>
        <w:t>Rolled Plain Bars</w:t>
      </w:r>
      <w:r>
        <w:rPr>
          <w:sz w:val="22"/>
        </w:rPr>
        <w:t>.</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16</w:t>
      </w:r>
      <w:r>
        <w:rPr>
          <w:sz w:val="22"/>
        </w:rPr>
        <w:tab/>
      </w:r>
      <w:r>
        <w:rPr>
          <w:sz w:val="22"/>
        </w:rPr>
        <w:t xml:space="preserve">Packaging </w:t>
      </w:r>
    </w:p>
    <w:p>
      <w:pPr>
        <w:adjustRightInd w:val="0"/>
        <w:snapToGrid w:val="0"/>
        <w:spacing w:after="312" w:afterLines="100" w:line="276" w:lineRule="auto"/>
        <w:jc w:val="left"/>
        <w:rPr>
          <w:sz w:val="22"/>
        </w:rPr>
      </w:pPr>
      <w:r>
        <w:rPr>
          <w:rFonts w:hint="eastAsia"/>
          <w:sz w:val="22"/>
        </w:rPr>
        <w:t>W</w:t>
      </w:r>
      <w:r>
        <w:rPr>
          <w:sz w:val="22"/>
        </w:rPr>
        <w:t xml:space="preserve">ire rods </w:t>
      </w:r>
      <w:r>
        <w:rPr>
          <w:rFonts w:hint="eastAsia"/>
          <w:sz w:val="22"/>
        </w:rPr>
        <w:t>shall be delivered in coils and t</w:t>
      </w:r>
      <w:r>
        <w:rPr>
          <w:sz w:val="22"/>
        </w:rPr>
        <w:t>he</w:t>
      </w:r>
      <w:r>
        <w:rPr>
          <w:rFonts w:hint="eastAsia"/>
          <w:sz w:val="22"/>
        </w:rPr>
        <w:t>ir</w:t>
      </w:r>
      <w:r>
        <w:rPr>
          <w:sz w:val="22"/>
        </w:rPr>
        <w:t xml:space="preserve"> packaging, mark, and certificate of quality shall conform to the</w:t>
      </w:r>
      <w:r>
        <w:rPr>
          <w:iCs/>
          <w:sz w:val="22"/>
        </w:rPr>
        <w:t xml:space="preserve"> specifications of National Standard GB 1499.1-20</w:t>
      </w:r>
      <w:r>
        <w:rPr>
          <w:rFonts w:hint="eastAsia"/>
          <w:iCs/>
          <w:sz w:val="22"/>
        </w:rPr>
        <w:t>24</w:t>
      </w:r>
      <w:r>
        <w:rPr>
          <w:iCs/>
          <w:sz w:val="22"/>
        </w:rPr>
        <w:t>:</w:t>
      </w:r>
      <w:r>
        <w:rPr>
          <w:i/>
          <w:sz w:val="22"/>
        </w:rPr>
        <w:t xml:space="preserve"> Steel for Reinforced Concrete, Part</w:t>
      </w:r>
      <w:r>
        <w:rPr>
          <w:rFonts w:hint="eastAsia"/>
          <w:i/>
          <w:sz w:val="22"/>
        </w:rPr>
        <w:t xml:space="preserve"> </w:t>
      </w:r>
      <w:r>
        <w:rPr>
          <w:i/>
          <w:sz w:val="22"/>
        </w:rPr>
        <w:t>1: Hot</w:t>
      </w:r>
      <w:r>
        <w:rPr>
          <w:rFonts w:hint="eastAsia"/>
          <w:i/>
          <w:sz w:val="22"/>
        </w:rPr>
        <w:t>-</w:t>
      </w:r>
      <w:r>
        <w:rPr>
          <w:i/>
          <w:sz w:val="22"/>
        </w:rPr>
        <w:t>Rolled Plain Bars</w:t>
      </w:r>
      <w:r>
        <w:rPr>
          <w:sz w:val="22"/>
        </w:rPr>
        <w:t>.</w:t>
      </w:r>
    </w:p>
    <w:p>
      <w:pPr>
        <w:adjustRightInd w:val="0"/>
        <w:snapToGrid w:val="0"/>
        <w:spacing w:after="312" w:afterLines="100" w:line="276" w:lineRule="auto"/>
        <w:jc w:val="left"/>
        <w:rPr>
          <w:sz w:val="22"/>
        </w:rPr>
      </w:pPr>
      <w:r>
        <w:rPr>
          <w:sz w:val="22"/>
        </w:rPr>
        <w:t xml:space="preserve">Wire rods underlying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registered trademark, and nominal diameter, and have</w:t>
      </w:r>
      <w:r>
        <w:rPr>
          <w:rFonts w:hint="eastAsia"/>
          <w:sz w:val="22"/>
        </w:rPr>
        <w:t xml:space="preserve"> their </w:t>
      </w:r>
      <w:r>
        <w:rPr>
          <w:sz w:val="22"/>
        </w:rPr>
        <w:t>date</w:t>
      </w:r>
      <w:r>
        <w:rPr>
          <w:rFonts w:hint="eastAsia"/>
          <w:sz w:val="22"/>
        </w:rPr>
        <w:t>s</w:t>
      </w:r>
      <w:r>
        <w:rPr>
          <w:sz w:val="22"/>
        </w:rPr>
        <w:t xml:space="preserve"> of </w:t>
      </w:r>
      <w:r>
        <w:rPr>
          <w:rFonts w:hint="eastAsia"/>
          <w:sz w:val="22"/>
        </w:rPr>
        <w:t>production</w:t>
      </w:r>
      <w:r>
        <w:rPr>
          <w:sz w:val="22"/>
        </w:rPr>
        <w:t xml:space="preserve"> variance </w:t>
      </w:r>
      <w:r>
        <w:rPr>
          <w:rFonts w:hint="eastAsia"/>
          <w:sz w:val="22"/>
        </w:rPr>
        <w:t xml:space="preserve">spanning </w:t>
      </w:r>
      <w:r>
        <w:rPr>
          <w:sz w:val="22"/>
        </w:rPr>
        <w:t>no more than ten</w:t>
      </w:r>
      <w:r>
        <w:rPr>
          <w:rFonts w:hint="eastAsia"/>
          <w:sz w:val="22"/>
        </w:rPr>
        <w:t xml:space="preserve"> (10)</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17</w:t>
      </w:r>
      <w:r>
        <w:rPr>
          <w:sz w:val="22"/>
        </w:rPr>
        <w:tab/>
      </w:r>
      <w:r>
        <w:rPr>
          <w:sz w:val="22"/>
        </w:rPr>
        <w:t xml:space="preserve">Required documentation for deliverable </w:t>
      </w:r>
      <w:r>
        <w:rPr>
          <w:rFonts w:hint="eastAsia"/>
          <w:sz w:val="22"/>
        </w:rPr>
        <w:t>commodities</w:t>
      </w:r>
    </w:p>
    <w:p>
      <w:pPr>
        <w:adjustRightInd w:val="0"/>
        <w:snapToGrid w:val="0"/>
        <w:spacing w:after="312" w:afterLines="100" w:line="276" w:lineRule="auto"/>
        <w:jc w:val="left"/>
        <w:rPr>
          <w:sz w:val="22"/>
        </w:rPr>
      </w:pPr>
      <w:r>
        <w:rPr>
          <w:sz w:val="22"/>
        </w:rPr>
        <w:t xml:space="preserve">The certificate of quality issued by the registered manufacturer shall be provided. </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18</w:t>
      </w:r>
      <w:r>
        <w:rPr>
          <w:sz w:val="22"/>
        </w:rPr>
        <w:tab/>
      </w:r>
      <w:r>
        <w:rPr>
          <w:sz w:val="22"/>
        </w:rPr>
        <w:t xml:space="preserve">Tolerance </w:t>
      </w:r>
      <w:r>
        <w:rPr>
          <w:rFonts w:hint="eastAsia"/>
          <w:sz w:val="22"/>
        </w:rPr>
        <w:t>and</w:t>
      </w:r>
      <w:r>
        <w:rPr>
          <w:sz w:val="22"/>
        </w:rPr>
        <w:t xml:space="preserve"> pound difference</w:t>
      </w:r>
    </w:p>
    <w:p>
      <w:pPr>
        <w:adjustRightInd w:val="0"/>
        <w:snapToGrid w:val="0"/>
        <w:spacing w:after="312" w:afterLines="100" w:line="276" w:lineRule="auto"/>
        <w:jc w:val="left"/>
        <w:rPr>
          <w:sz w:val="22"/>
        </w:rPr>
      </w:pPr>
      <w:r>
        <w:rPr>
          <w:sz w:val="22"/>
        </w:rPr>
        <w:t xml:space="preserve">The </w:t>
      </w:r>
      <w:r>
        <w:rPr>
          <w:rFonts w:hint="eastAsia"/>
          <w:sz w:val="22"/>
        </w:rPr>
        <w:t>deliverable wire rods</w:t>
      </w:r>
      <w:r>
        <w:rPr>
          <w:sz w:val="22"/>
        </w:rPr>
        <w:t xml:space="preserve"> shall be measured by </w:t>
      </w:r>
      <w:r>
        <w:rPr>
          <w:rFonts w:hint="eastAsia"/>
          <w:sz w:val="22"/>
        </w:rPr>
        <w:t xml:space="preserve">actual </w:t>
      </w:r>
      <w:r>
        <w:rPr>
          <w:sz w:val="22"/>
        </w:rPr>
        <w:t>weigh</w:t>
      </w:r>
      <w:r>
        <w:rPr>
          <w:rFonts w:hint="eastAsia"/>
          <w:sz w:val="22"/>
        </w:rPr>
        <w:t>t</w:t>
      </w:r>
      <w:r>
        <w:rPr>
          <w:sz w:val="22"/>
        </w:rPr>
        <w:t xml:space="preserve">. Difference between standard warrant weight and actual delivery weight shall not exceed </w:t>
      </w:r>
      <w:r>
        <w:rPr>
          <w:rFonts w:hint="eastAsia"/>
          <w:sz w:val="22"/>
        </w:rPr>
        <w:t xml:space="preserve">plus or minus </w:t>
      </w:r>
      <w:r>
        <w:rPr>
          <w:sz w:val="22"/>
        </w:rPr>
        <w:t xml:space="preserve">three percent (±3%). </w:t>
      </w:r>
      <w:r>
        <w:rPr>
          <w:rFonts w:hint="eastAsia"/>
          <w:sz w:val="22"/>
        </w:rPr>
        <w:t>Pound difference</w:t>
      </w:r>
      <w:r>
        <w:rPr>
          <w:sz w:val="22"/>
        </w:rPr>
        <w:t xml:space="preserve"> shall not exceed </w:t>
      </w:r>
      <w:r>
        <w:rPr>
          <w:rFonts w:hint="eastAsia"/>
          <w:sz w:val="22"/>
        </w:rPr>
        <w:t xml:space="preserve">plus or minus </w:t>
      </w:r>
      <w:r>
        <w:rPr>
          <w:sz w:val="22"/>
        </w:rPr>
        <w:t xml:space="preserve">three-tenths of one percent (±0.3%). </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wire rod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wire rod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wire rod</w:t>
      </w:r>
      <w:r>
        <w:rPr>
          <w:sz w:val="22"/>
          <w:szCs w:val="22"/>
        </w:rPr>
        <w:t xml:space="preserve"> futures contract is its settlement price on the last trading day.</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eliverable commodities arises, the buyer shall submit a request for dispute resolution within twenty-five (25) days after the payment and the exchange of standard warrants, together with the quality assay report issued by a Designated Inspection Agency.</w:t>
      </w:r>
    </w:p>
    <w:p>
      <w:pPr>
        <w:tabs>
          <w:tab w:val="left" w:pos="1204"/>
        </w:tabs>
        <w:adjustRightInd w:val="0"/>
        <w:snapToGrid w:val="0"/>
        <w:spacing w:after="312" w:afterLines="100" w:line="276" w:lineRule="auto"/>
        <w:jc w:val="center"/>
        <w:rPr>
          <w:b/>
          <w:sz w:val="22"/>
          <w:szCs w:val="22"/>
        </w:rPr>
      </w:pPr>
      <w:r>
        <w:rPr>
          <w:rFonts w:hint="eastAsia"/>
          <w:b/>
          <w:sz w:val="22"/>
          <w:szCs w:val="22"/>
        </w:rPr>
        <w:t>SECTION 2 WAREHOUSE DELIVERY</w:t>
      </w:r>
    </w:p>
    <w:p>
      <w:pPr>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 xml:space="preserve">The </w:t>
      </w:r>
      <w:r>
        <w:rPr>
          <w:rFonts w:hint="eastAsia"/>
          <w:sz w:val="22"/>
        </w:rPr>
        <w:t>validity period</w:t>
      </w:r>
      <w:r>
        <w:rPr>
          <w:sz w:val="22"/>
        </w:rPr>
        <w:t xml:space="preserve"> of each delivery set</w:t>
      </w:r>
      <w:r>
        <w:rPr>
          <w:rFonts w:hint="eastAsia"/>
          <w:sz w:val="22"/>
        </w:rPr>
        <w:t xml:space="preserve"> of wire rods</w:t>
      </w:r>
      <w:r>
        <w:rPr>
          <w:sz w:val="22"/>
        </w:rPr>
        <w:t xml:space="preserve"> shall be ninety (90) days following the date of production. A </w:t>
      </w:r>
      <w:r>
        <w:rPr>
          <w:rFonts w:hint="eastAsia"/>
          <w:sz w:val="22"/>
        </w:rPr>
        <w:t xml:space="preserve">warehouse </w:t>
      </w:r>
      <w:r>
        <w:rPr>
          <w:sz w:val="22"/>
        </w:rPr>
        <w:t xml:space="preserve">standard warrant shall not be issued unless the commodity is delivered to a delivery warehouse within </w:t>
      </w:r>
      <w:r>
        <w:rPr>
          <w:rFonts w:hint="eastAsia"/>
          <w:sz w:val="22"/>
        </w:rPr>
        <w:t>thirty</w:t>
      </w:r>
      <w:r>
        <w:rPr>
          <w:sz w:val="22"/>
        </w:rPr>
        <w:t xml:space="preserve"> (</w:t>
      </w:r>
      <w:r>
        <w:rPr>
          <w:rFonts w:hint="eastAsia"/>
          <w:sz w:val="22"/>
        </w:rPr>
        <w:t>30</w:t>
      </w:r>
      <w:r>
        <w:rPr>
          <w:sz w:val="22"/>
        </w:rPr>
        <w:t xml:space="preserve">) days following the date of production. </w:t>
      </w:r>
    </w:p>
    <w:p>
      <w:pPr>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25</w:t>
      </w:r>
      <w:r>
        <w:rPr>
          <w:b/>
          <w:bCs/>
          <w:sz w:val="22"/>
          <w:szCs w:val="22"/>
        </w:rPr>
        <w:tab/>
      </w:r>
      <w:r>
        <w:rPr>
          <w:rFonts w:hint="eastAsia"/>
          <w:sz w:val="22"/>
        </w:rPr>
        <w:t xml:space="preserve">Deliverable </w:t>
      </w:r>
      <w:r>
        <w:rPr>
          <w:sz w:val="22"/>
        </w:rPr>
        <w:t>wire rod</w:t>
      </w:r>
      <w:r>
        <w:rPr>
          <w:rFonts w:hint="eastAsia"/>
          <w:sz w:val="22"/>
        </w:rPr>
        <w:t>s</w:t>
      </w:r>
      <w:r>
        <w:rPr>
          <w:sz w:val="22"/>
        </w:rPr>
        <w:t xml:space="preserve"> underlying each </w:t>
      </w:r>
      <w:r>
        <w:rPr>
          <w:rFonts w:hint="eastAsia"/>
          <w:sz w:val="22"/>
        </w:rPr>
        <w:t>warehouse</w:t>
      </w:r>
      <w:r>
        <w:rPr>
          <w:sz w:val="22"/>
        </w:rPr>
        <w:t xml:space="preserve"> standard warrant shall be stacked together. </w:t>
      </w:r>
    </w:p>
    <w:p>
      <w:pPr>
        <w:tabs>
          <w:tab w:val="left" w:pos="1204"/>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szCs w:val="22"/>
        </w:rPr>
        <w:t>After the physical delivery is completed, if the buyer has any dispute over the quality or quantity of the commodity</w:t>
      </w:r>
      <w:r>
        <w:rPr>
          <w:sz w:val="22"/>
        </w:rPr>
        <w:t xml:space="preserve"> (any wire rod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wire rod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pPr>
        <w:tabs>
          <w:tab w:val="left" w:pos="1204"/>
        </w:tabs>
        <w:adjustRightInd w:val="0"/>
        <w:snapToGrid w:val="0"/>
        <w:spacing w:after="312" w:afterLines="100" w:line="276" w:lineRule="auto"/>
        <w:jc w:val="center"/>
        <w:rPr>
          <w:b/>
          <w:sz w:val="22"/>
          <w:szCs w:val="22"/>
        </w:rPr>
      </w:pPr>
      <w:r>
        <w:rPr>
          <w:rFonts w:hint="eastAsia"/>
          <w:b/>
          <w:sz w:val="22"/>
          <w:szCs w:val="22"/>
        </w:rPr>
        <w:t>SECTION 3 FACTORY DELIVERY</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27</w:t>
      </w:r>
      <w:r>
        <w:rPr>
          <w:color w:val="000000"/>
          <w:sz w:val="22"/>
          <w:szCs w:val="22"/>
        </w:rPr>
        <w:tab/>
      </w:r>
      <w:r>
        <w:rPr>
          <w:color w:val="000000"/>
          <w:sz w:val="22"/>
          <w:szCs w:val="22"/>
        </w:rPr>
        <w:t>Application</w:t>
      </w:r>
    </w:p>
    <w:p>
      <w:pPr>
        <w:tabs>
          <w:tab w:val="left" w:pos="1204"/>
        </w:tabs>
        <w:adjustRightInd w:val="0"/>
        <w:snapToGrid w:val="0"/>
        <w:spacing w:after="312" w:afterLines="100" w:line="276"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28</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pPr>
        <w:tabs>
          <w:tab w:val="left" w:pos="1204"/>
        </w:tabs>
        <w:adjustRightInd w:val="0"/>
        <w:snapToGrid w:val="0"/>
        <w:spacing w:after="312" w:afterLines="100" w:line="276" w:lineRule="auto"/>
        <w:jc w:val="left"/>
        <w:rPr>
          <w:color w:val="000000"/>
          <w:sz w:val="22"/>
          <w:szCs w:val="22"/>
        </w:rPr>
      </w:pPr>
      <w:r>
        <w:rPr>
          <w:sz w:val="22"/>
        </w:rPr>
        <w:t xml:space="preserve">The validity period for the delivery of </w:t>
      </w:r>
      <w:r>
        <w:rPr>
          <w:rFonts w:hint="eastAsia"/>
          <w:sz w:val="22"/>
        </w:rPr>
        <w:t>wire rod</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six</w:t>
      </w:r>
      <w:r>
        <w:rPr>
          <w:sz w:val="22"/>
        </w:rPr>
        <w:t xml:space="preserve"> (</w:t>
      </w:r>
      <w:r>
        <w:rPr>
          <w:rFonts w:hint="eastAsia"/>
          <w:sz w:val="22"/>
        </w:rPr>
        <w:t>6</w:t>
      </w:r>
      <w:r>
        <w:rPr>
          <w:sz w:val="22"/>
        </w:rPr>
        <w:t xml:space="preserve">) </w:t>
      </w:r>
      <w:r>
        <w:rPr>
          <w:rFonts w:hint="eastAsia"/>
          <w:sz w:val="22"/>
        </w:rPr>
        <w:t>months</w:t>
      </w:r>
      <w:r>
        <w:rPr>
          <w:sz w:val="22"/>
        </w:rPr>
        <w:t xml:space="preserve"> from the date of creation of such warrant</w:t>
      </w:r>
      <w:r>
        <w:rPr>
          <w:rFonts w:hint="eastAsia"/>
          <w:sz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29</w:t>
      </w:r>
      <w:r>
        <w:rPr>
          <w:color w:val="000000"/>
          <w:sz w:val="22"/>
          <w:szCs w:val="22"/>
        </w:rPr>
        <w:tab/>
      </w:r>
      <w:r>
        <w:rPr>
          <w:color w:val="000000"/>
          <w:sz w:val="22"/>
          <w:szCs w:val="22"/>
        </w:rPr>
        <w:t>Application for taking delivery</w:t>
      </w:r>
    </w:p>
    <w:p>
      <w:pPr>
        <w:widowControl/>
        <w:tabs>
          <w:tab w:val="left" w:pos="709"/>
        </w:tabs>
        <w:adjustRightInd w:val="0"/>
        <w:snapToGrid w:val="0"/>
        <w:spacing w:after="312" w:afterLines="100" w:line="276" w:lineRule="auto"/>
        <w:jc w:val="left"/>
        <w:rPr>
          <w:color w:val="000000"/>
          <w:sz w:val="22"/>
          <w:szCs w:val="22"/>
          <w:shd w:val="pct10" w:color="auto" w:fill="FFFFFF"/>
        </w:rPr>
      </w:pPr>
      <w:r>
        <w:rPr>
          <w:color w:val="000000"/>
          <w:sz w:val="22"/>
          <w:szCs w:val="22"/>
        </w:rPr>
        <w:t>(i)</w:t>
      </w:r>
      <w:r>
        <w:rPr>
          <w:color w:val="000000"/>
          <w:sz w:val="22"/>
          <w:szCs w:val="22"/>
        </w:rPr>
        <w:tab/>
      </w:r>
      <w:r>
        <w:rPr>
          <w:color w:val="000000"/>
          <w:sz w:val="22"/>
          <w:szCs w:val="22"/>
        </w:rPr>
        <w:t>A</w:t>
      </w:r>
      <w:r>
        <w:rPr>
          <w:rFonts w:hint="eastAsia"/>
          <w:color w:val="000000"/>
          <w:sz w:val="22"/>
          <w:szCs w:val="22"/>
        </w:rPr>
        <w:t xml:space="preserve">n </w:t>
      </w:r>
      <w:r>
        <w:rPr>
          <w:color w:val="000000"/>
          <w:sz w:val="22"/>
          <w:szCs w:val="22"/>
        </w:rPr>
        <w:t>owner</w:t>
      </w:r>
      <w:r>
        <w:rPr>
          <w:rFonts w:hint="eastAsia"/>
          <w:color w:val="000000"/>
          <w:sz w:val="22"/>
          <w:szCs w:val="22"/>
        </w:rPr>
        <w:t xml:space="preserve"> </w:t>
      </w:r>
      <w:r>
        <w:rPr>
          <w:color w:val="000000"/>
          <w:sz w:val="22"/>
          <w:szCs w:val="22"/>
        </w:rPr>
        <w:t xml:space="preserve">who intends to take delivery shall submit an application through the Standard Warrant Management System to the intended Factory </w:t>
      </w:r>
      <w:r>
        <w:rPr>
          <w:rFonts w:hint="eastAsia"/>
          <w:color w:val="000000"/>
          <w:sz w:val="22"/>
          <w:szCs w:val="22"/>
        </w:rPr>
        <w:t>before the seventh</w:t>
      </w:r>
      <w:r>
        <w:rPr>
          <w:color w:val="000000"/>
          <w:sz w:val="22"/>
          <w:szCs w:val="22"/>
        </w:rPr>
        <w:t xml:space="preserve"> (</w:t>
      </w:r>
      <w:r>
        <w:rPr>
          <w:rFonts w:hint="eastAsia"/>
          <w:color w:val="000000"/>
          <w:sz w:val="22"/>
          <w:szCs w:val="22"/>
        </w:rPr>
        <w:t>7</w:t>
      </w:r>
      <w:r>
        <w:rPr>
          <w:color w:val="000000"/>
          <w:sz w:val="22"/>
          <w:szCs w:val="22"/>
        </w:rPr>
        <w:t xml:space="preserve">) business day prior to the proposed take-delivery date. The application shall specify such information as </w:t>
      </w:r>
      <w:r>
        <w:rPr>
          <w:rFonts w:hint="eastAsia"/>
          <w:color w:val="000000"/>
          <w:sz w:val="22"/>
          <w:szCs w:val="22"/>
        </w:rPr>
        <w:t>the</w:t>
      </w:r>
      <w:r>
        <w:rPr>
          <w:color w:val="000000"/>
          <w:sz w:val="22"/>
          <w:szCs w:val="22"/>
        </w:rPr>
        <w:t xml:space="preserve"> </w:t>
      </w:r>
      <w:r>
        <w:rPr>
          <w:rFonts w:hint="eastAsia"/>
          <w:color w:val="000000"/>
          <w:sz w:val="22"/>
          <w:szCs w:val="22"/>
        </w:rPr>
        <w:t>specifications</w:t>
      </w:r>
      <w:r>
        <w:rPr>
          <w:color w:val="000000"/>
          <w:sz w:val="22"/>
          <w:szCs w:val="22"/>
        </w:rPr>
        <w:t xml:space="preserve"> </w:t>
      </w:r>
      <w:r>
        <w:rPr>
          <w:rFonts w:hint="eastAsia"/>
          <w:color w:val="000000"/>
          <w:sz w:val="22"/>
          <w:szCs w:val="22"/>
        </w:rPr>
        <w:t xml:space="preserve">and </w:t>
      </w:r>
      <w:r>
        <w:rPr>
          <w:color w:val="000000"/>
          <w:sz w:val="22"/>
          <w:szCs w:val="22"/>
        </w:rPr>
        <w:t xml:space="preserve">quantity of the commodity, the proposed take-delivery date, method, and plan (including daily quantity), as well as the identification certificate and telephone number of the delivery taker. </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w:t>
      </w:r>
      <w:r>
        <w:rPr>
          <w:rFonts w:hint="eastAsia"/>
          <w:color w:val="000000"/>
          <w:sz w:val="22"/>
          <w:szCs w:val="22"/>
        </w:rPr>
        <w:t>, specifications of the commodity,</w:t>
      </w:r>
      <w:r>
        <w:rPr>
          <w:color w:val="000000"/>
          <w:sz w:val="22"/>
          <w:szCs w:val="22"/>
        </w:rPr>
        <w:t xml:space="preserve"> and corresponding manufacturer’s production plan.</w:t>
      </w:r>
    </w:p>
    <w:p>
      <w:pPr>
        <w:adjustRightInd w:val="0"/>
        <w:spacing w:after="312" w:afterLines="100" w:line="276"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the owner’s proposed take-delivery date coincides with that of other owners holding factory 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(iii)</w:t>
      </w:r>
      <w:r>
        <w:rPr>
          <w:color w:val="000000"/>
          <w:sz w:val="22"/>
          <w:szCs w:val="22"/>
        </w:rPr>
        <w:tab/>
      </w:r>
      <w:r>
        <w:rPr>
          <w:color w:val="000000"/>
          <w:sz w:val="22"/>
          <w:szCs w:val="22"/>
        </w:rPr>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pPr>
        <w:tabs>
          <w:tab w:val="left" w:pos="1195"/>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30</w:t>
      </w:r>
      <w:r>
        <w:rPr>
          <w:color w:val="000000"/>
          <w:sz w:val="22"/>
          <w:szCs w:val="22"/>
        </w:rPr>
        <w:tab/>
      </w:r>
      <w:r>
        <w:rPr>
          <w:rFonts w:hint="eastAsia"/>
          <w:color w:val="000000"/>
          <w:sz w:val="22"/>
          <w:szCs w:val="22"/>
        </w:rPr>
        <w:t>Production date</w:t>
      </w:r>
    </w:p>
    <w:p>
      <w:pPr>
        <w:tabs>
          <w:tab w:val="left" w:pos="1204"/>
        </w:tabs>
        <w:adjustRightInd w:val="0"/>
        <w:snapToGrid w:val="0"/>
        <w:spacing w:after="312" w:afterLines="100" w:line="276" w:lineRule="auto"/>
        <w:jc w:val="left"/>
        <w:rPr>
          <w:color w:val="000000"/>
          <w:sz w:val="22"/>
          <w:szCs w:val="22"/>
        </w:rPr>
      </w:pPr>
      <w:r>
        <w:rPr>
          <w:color w:val="000000"/>
          <w:sz w:val="22"/>
          <w:szCs w:val="22"/>
        </w:rPr>
        <w:t xml:space="preserve">The production date of load-out commodity shall be within forty-five </w:t>
      </w:r>
      <w:r>
        <w:rPr>
          <w:rFonts w:hint="eastAsia"/>
          <w:color w:val="000000"/>
          <w:sz w:val="22"/>
          <w:szCs w:val="22"/>
        </w:rPr>
        <w:t xml:space="preserve">(45)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31</w:t>
      </w:r>
      <w:r>
        <w:rPr>
          <w:color w:val="000000"/>
          <w:sz w:val="22"/>
          <w:szCs w:val="22"/>
        </w:rPr>
        <w:tab/>
      </w:r>
      <w:r>
        <w:rPr>
          <w:color w:val="000000"/>
          <w:sz w:val="22"/>
          <w:szCs w:val="22"/>
        </w:rPr>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by the Factory</w:t>
      </w:r>
      <w:r>
        <w:rPr>
          <w:color w:val="000000"/>
          <w:sz w:val="22"/>
          <w:szCs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32</w:t>
      </w:r>
      <w:r>
        <w:rPr>
          <w:color w:val="000000"/>
          <w:sz w:val="22"/>
          <w:szCs w:val="22"/>
        </w:rPr>
        <w:tab/>
      </w:r>
      <w:r>
        <w:rPr>
          <w:color w:val="000000"/>
          <w:sz w:val="22"/>
          <w:szCs w:val="22"/>
        </w:rPr>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pPr>
        <w:tabs>
          <w:tab w:val="left" w:pos="1204"/>
        </w:tabs>
        <w:adjustRightInd w:val="0"/>
        <w:snapToGrid w:val="0"/>
        <w:spacing w:after="312" w:afterLines="100" w:line="276" w:lineRule="auto"/>
        <w:jc w:val="left"/>
        <w:rPr>
          <w:color w:val="000000"/>
          <w:sz w:val="22"/>
          <w:szCs w:val="22"/>
        </w:rPr>
      </w:pPr>
      <w:r>
        <w:rPr>
          <w:color w:val="000000"/>
          <w:sz w:val="22"/>
          <w:szCs w:val="22"/>
        </w:rPr>
        <w:t>Overdue fine = 2 yuan/metric ton per day × quantity of commodity that should have been taken × number of days overdue</w:t>
      </w:r>
    </w:p>
    <w:p>
      <w:pPr>
        <w:tabs>
          <w:tab w:val="left" w:pos="1204"/>
        </w:tabs>
        <w:adjustRightInd w:val="0"/>
        <w:snapToGrid w:val="0"/>
        <w:spacing w:after="312" w:afterLines="100" w:line="276"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33</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pPr>
        <w:tabs>
          <w:tab w:val="left" w:pos="1204"/>
        </w:tabs>
        <w:adjustRightInd w:val="0"/>
        <w:snapToGrid w:val="0"/>
        <w:spacing w:after="312" w:afterLines="100" w:line="276" w:lineRule="auto"/>
        <w:jc w:val="left"/>
        <w:rPr>
          <w:color w:val="000000"/>
          <w:sz w:val="22"/>
          <w:szCs w:val="22"/>
        </w:rPr>
      </w:pPr>
      <w:r>
        <w:rPr>
          <w:color w:val="000000"/>
          <w:sz w:val="22"/>
          <w:szCs w:val="22"/>
        </w:rPr>
        <w:t>Overdue fine = 35 yuan/metric ton × quantity of commodity that should have been taken</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34</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pPr>
        <w:tabs>
          <w:tab w:val="left" w:pos="1204"/>
        </w:tabs>
        <w:adjustRightInd w:val="0"/>
        <w:snapToGrid w:val="0"/>
        <w:spacing w:after="312" w:afterLines="100" w:line="276" w:lineRule="auto"/>
        <w:jc w:val="left"/>
        <w:rPr>
          <w:color w:val="000000"/>
          <w:sz w:val="22"/>
          <w:szCs w:val="22"/>
        </w:rPr>
      </w:pPr>
      <w:r>
        <w:rPr>
          <w:color w:val="000000"/>
          <w:sz w:val="22"/>
          <w:szCs w:val="22"/>
        </w:rPr>
        <w:t>Compensation = 50 yuan/metric ton × quantity of commodity that should have been shipped according to the daily shipment plan</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35</w:t>
      </w:r>
      <w:r>
        <w:rPr>
          <w:color w:val="000000"/>
          <w:sz w:val="22"/>
          <w:szCs w:val="22"/>
        </w:rPr>
        <w:tab/>
      </w:r>
      <w:r>
        <w:rPr>
          <w:color w:val="000000"/>
          <w:sz w:val="22"/>
          <w:szCs w:val="22"/>
        </w:rPr>
        <w:t>If the Factory fails to complete the shipment within fifteen (15) days (including the 15th day) after the agreed take-delivery date, the owner may choose either of the followings:</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w:t>
      </w:r>
      <w:r>
        <w:rPr>
          <w:color w:val="000000"/>
          <w:sz w:val="22"/>
          <w:szCs w:val="22"/>
        </w:rPr>
        <w:tab/>
      </w:r>
      <w:r>
        <w:rPr>
          <w:color w:val="000000"/>
          <w:sz w:val="22"/>
          <w:szCs w:val="22"/>
        </w:rPr>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pPr>
        <w:tabs>
          <w:tab w:val="left" w:pos="1204"/>
        </w:tabs>
        <w:adjustRightInd w:val="0"/>
        <w:snapToGrid w:val="0"/>
        <w:spacing w:after="312" w:afterLines="100" w:line="276"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pPr>
        <w:tabs>
          <w:tab w:val="left" w:pos="1204"/>
        </w:tabs>
        <w:adjustRightInd w:val="0"/>
        <w:snapToGrid w:val="0"/>
        <w:spacing w:after="312" w:afterLines="100" w:line="276"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If on the 15th day after the agreed take-delivery date, the owner fails to notify the Factory that it will cease accepting any commodity that should have been shipped, the parties shall negotiate the details on taking delivery of such commodity.</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36</w:t>
      </w:r>
      <w:r>
        <w:rPr>
          <w:color w:val="000000"/>
          <w:sz w:val="22"/>
          <w:szCs w:val="22"/>
        </w:rPr>
        <w:tab/>
      </w:r>
      <w:r>
        <w:rPr>
          <w:color w:val="000000"/>
          <w:sz w:val="22"/>
          <w:szCs w:val="22"/>
        </w:rPr>
        <w:t xml:space="preserve">If a Factory commits any default described in Article </w:t>
      </w:r>
      <w:r>
        <w:rPr>
          <w:rFonts w:hint="eastAsia"/>
          <w:color w:val="000000"/>
          <w:sz w:val="22"/>
          <w:szCs w:val="22"/>
        </w:rPr>
        <w:t>34</w:t>
      </w:r>
      <w:r>
        <w:rPr>
          <w:color w:val="000000"/>
          <w:sz w:val="22"/>
          <w:szCs w:val="22"/>
        </w:rPr>
        <w:t xml:space="preserve"> or </w:t>
      </w:r>
      <w:r>
        <w:rPr>
          <w:rFonts w:hint="eastAsia"/>
          <w:color w:val="000000"/>
          <w:sz w:val="22"/>
          <w:szCs w:val="22"/>
        </w:rPr>
        <w:t>35</w:t>
      </w:r>
      <w:r>
        <w:rPr>
          <w:color w:val="000000"/>
          <w:sz w:val="22"/>
          <w:szCs w:val="22"/>
        </w:rPr>
        <w:t>, it shall pay compensation directly to the owner.</w:t>
      </w:r>
      <w:r>
        <w:rPr>
          <w:rFonts w:hint="eastAsia" w:eastAsia="方正仿宋简体"/>
          <w:color w:val="000000"/>
          <w:sz w:val="22"/>
          <w:szCs w:val="22"/>
        </w:rPr>
        <w:t xml:space="preserve"> </w:t>
      </w:r>
      <w:r>
        <w:rPr>
          <w:color w:val="000000"/>
          <w:sz w:val="22"/>
          <w:szCs w:val="22"/>
        </w:rPr>
        <w:t xml:space="preserve">If the Factory fails to make the payment in full or in part, the Exchange shall pay any deficient amount to the owner: </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w:t>
      </w:r>
      <w:r>
        <w:rPr>
          <w:color w:val="000000"/>
          <w:sz w:val="22"/>
          <w:szCs w:val="22"/>
        </w:rPr>
        <w:tab/>
      </w:r>
      <w:r>
        <w:rPr>
          <w:color w:val="000000"/>
          <w:sz w:val="22"/>
          <w:szCs w:val="22"/>
        </w:rPr>
        <w:t>with the guarantees provided by the Factory; or</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with the Exchange’s funds and recourse to the Factory by such means as legal proceedings.</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37</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32</w:t>
      </w:r>
      <w:r>
        <w:rPr>
          <w:color w:val="000000"/>
          <w:sz w:val="22"/>
          <w:szCs w:val="22"/>
        </w:rPr>
        <w:t xml:space="preserve"> or </w:t>
      </w:r>
      <w:r>
        <w:rPr>
          <w:rFonts w:hint="eastAsia"/>
          <w:color w:val="000000"/>
          <w:sz w:val="22"/>
          <w:szCs w:val="22"/>
        </w:rPr>
        <w:t>33</w:t>
      </w:r>
      <w:r>
        <w:rPr>
          <w:color w:val="000000"/>
          <w:sz w:val="22"/>
          <w:szCs w:val="22"/>
        </w:rPr>
        <w:t>, it shall pay compensation directly to the Factory. If the owner fails to make the payment in full or in part, the Factory may recourse to the owner by such means as legal proceedings.</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38</w:t>
      </w:r>
      <w:r>
        <w:rPr>
          <w:color w:val="000000"/>
          <w:sz w:val="22"/>
          <w:szCs w:val="22"/>
        </w:rPr>
        <w:tab/>
      </w:r>
      <w:r>
        <w:rPr>
          <w:color w:val="000000"/>
          <w:sz w:val="22"/>
          <w:szCs w:val="22"/>
        </w:rPr>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32</w:t>
      </w:r>
      <w:r>
        <w:rPr>
          <w:color w:val="000000"/>
          <w:sz w:val="22"/>
          <w:szCs w:val="22"/>
        </w:rPr>
        <w:t xml:space="preserve">, </w:t>
      </w:r>
      <w:r>
        <w:rPr>
          <w:rFonts w:hint="eastAsia"/>
          <w:color w:val="000000"/>
          <w:sz w:val="22"/>
          <w:szCs w:val="22"/>
        </w:rPr>
        <w:t>33</w:t>
      </w:r>
      <w:r>
        <w:rPr>
          <w:color w:val="000000"/>
          <w:sz w:val="22"/>
          <w:szCs w:val="22"/>
        </w:rPr>
        <w:t xml:space="preserve">, </w:t>
      </w:r>
      <w:r>
        <w:rPr>
          <w:rFonts w:hint="eastAsia"/>
          <w:color w:val="000000"/>
          <w:sz w:val="22"/>
          <w:szCs w:val="22"/>
        </w:rPr>
        <w:t>34</w:t>
      </w:r>
      <w:r>
        <w:rPr>
          <w:color w:val="000000"/>
          <w:sz w:val="22"/>
          <w:szCs w:val="22"/>
        </w:rPr>
        <w:t xml:space="preserve"> or</w:t>
      </w:r>
      <w:r>
        <w:rPr>
          <w:rFonts w:hint="eastAsia"/>
          <w:color w:val="000000"/>
          <w:sz w:val="22"/>
          <w:szCs w:val="22"/>
        </w:rPr>
        <w:t xml:space="preserve"> 35</w:t>
      </w:r>
      <w:r>
        <w:rPr>
          <w:color w:val="000000"/>
          <w:sz w:val="22"/>
          <w:szCs w:val="22"/>
        </w:rPr>
        <w:t xml:space="preserve"> shall be handled by both parties as agreed if they have reached a separate agreement. The agreement shall be filed in writing with the Exchange for record. </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39</w:t>
      </w:r>
      <w:r>
        <w:rPr>
          <w:color w:val="000000"/>
          <w:sz w:val="22"/>
          <w:szCs w:val="22"/>
        </w:rPr>
        <w:tab/>
      </w:r>
      <w:r>
        <w:rPr>
          <w:color w:val="000000"/>
          <w:sz w:val="22"/>
          <w:szCs w:val="22"/>
        </w:rPr>
        <w:t>Quality dispute resolution</w:t>
      </w:r>
    </w:p>
    <w:p>
      <w:pPr>
        <w:tabs>
          <w:tab w:val="left" w:pos="1204"/>
        </w:tabs>
        <w:adjustRightInd w:val="0"/>
        <w:snapToGrid w:val="0"/>
        <w:spacing w:after="312" w:afterLines="100" w:line="276" w:lineRule="auto"/>
        <w:jc w:val="left"/>
        <w:rPr>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twenty (20) business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40</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wire rod futures contract is 7%.</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41</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wire rod futures are as follows:</w:t>
      </w:r>
    </w:p>
    <w:tbl>
      <w:tblPr>
        <w:tblStyle w:val="7"/>
        <w:tblW w:w="5000" w:type="pct"/>
        <w:tblInd w:w="0" w:type="dxa"/>
        <w:tblLayout w:type="autofit"/>
        <w:tblCellMar>
          <w:top w:w="61" w:type="dxa"/>
          <w:left w:w="108" w:type="dxa"/>
          <w:bottom w:w="0" w:type="dxa"/>
          <w:right w:w="24" w:type="dxa"/>
        </w:tblCellMar>
      </w:tblPr>
      <w:tblGrid>
        <w:gridCol w:w="5817"/>
        <w:gridCol w:w="2621"/>
      </w:tblGrid>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rFonts w:hint="eastAsia"/>
                <w:sz w:val="22"/>
                <w:szCs w:val="22"/>
              </w:rPr>
              <w:t>7</w:t>
            </w:r>
            <w:r>
              <w:rPr>
                <w:sz w:val="22"/>
                <w:szCs w:val="22"/>
              </w:rPr>
              <w:t>%</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42</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wire rod futures contract is w</w:t>
      </w:r>
      <w:r>
        <w:rPr>
          <w:sz w:val="22"/>
          <w:szCs w:val="22"/>
        </w:rPr>
        <w:t>ithin ±</w:t>
      </w:r>
      <w:r>
        <w:rPr>
          <w:rFonts w:hint="eastAsia"/>
          <w:sz w:val="22"/>
          <w:szCs w:val="22"/>
        </w:rPr>
        <w:t>5</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43</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wire rod</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902"/>
        <w:gridCol w:w="1104"/>
        <w:gridCol w:w="1141"/>
        <w:gridCol w:w="714"/>
        <w:gridCol w:w="716"/>
        <w:gridCol w:w="726"/>
        <w:gridCol w:w="702"/>
        <w:gridCol w:w="809"/>
        <w:gridCol w:w="6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1199"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37"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854"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2"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660"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682"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855"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854"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902"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60"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682"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427"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28"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34"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20"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84"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18"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wire rod</w:t>
            </w:r>
          </w:p>
        </w:tc>
        <w:tc>
          <w:tcPr>
            <w:tcW w:w="539"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225,000</w:t>
            </w:r>
          </w:p>
        </w:tc>
        <w:tc>
          <w:tcPr>
            <w:tcW w:w="660"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682"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225,000</w:t>
            </w:r>
          </w:p>
        </w:tc>
        <w:tc>
          <w:tcPr>
            <w:tcW w:w="427"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28"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34"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420"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484"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360</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60"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82"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＜225,000</w:t>
            </w:r>
          </w:p>
        </w:tc>
        <w:tc>
          <w:tcPr>
            <w:tcW w:w="427"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22,500</w:t>
            </w:r>
          </w:p>
        </w:tc>
        <w:tc>
          <w:tcPr>
            <w:tcW w:w="428"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22,500</w:t>
            </w:r>
          </w:p>
        </w:tc>
        <w:tc>
          <w:tcPr>
            <w:tcW w:w="434"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20"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84"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44</w:t>
      </w:r>
      <w:r>
        <w:rPr>
          <w:bCs/>
          <w:sz w:val="22"/>
          <w:szCs w:val="22"/>
        </w:rPr>
        <w:tab/>
      </w:r>
      <w:r>
        <w:rPr>
          <w:bCs/>
          <w:sz w:val="22"/>
          <w:szCs w:val="22"/>
        </w:rPr>
        <w:t xml:space="preserve">For contracts in wire rod futures, by the close of the last trading day of the month prior to the delivery month, each Member or each Client shall adjust their speculative positions held through the Member,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speculative positions as 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45</w:t>
      </w:r>
      <w:r>
        <w:rPr>
          <w:bCs/>
          <w:sz w:val="22"/>
          <w:szCs w:val="22"/>
        </w:rPr>
        <w:tab/>
      </w:r>
      <w:r>
        <w:rPr>
          <w:bCs/>
          <w:sz w:val="22"/>
          <w:szCs w:val="22"/>
        </w:rPr>
        <w:t>If the Exchange makes a forced position reduction</w:t>
      </w:r>
      <w:r>
        <w:rPr>
          <w:rFonts w:hint="eastAsia"/>
          <w:bCs/>
          <w:sz w:val="22"/>
          <w:szCs w:val="22"/>
        </w:rPr>
        <w:t xml:space="preserve"> to a wire rod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widowControl/>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wire rod</w:t>
      </w:r>
      <w:r>
        <w:rPr>
          <w:bCs/>
          <w:sz w:val="22"/>
          <w:szCs w:val="22"/>
        </w:rPr>
        <w:t xml:space="preserve"> futures contracts, of the settlement price of the base date.</w:t>
      </w:r>
    </w:p>
    <w:p>
      <w:pPr>
        <w:widowControl/>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widowControl/>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wire rod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wire rod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wire rod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wire rod futures</w:t>
      </w:r>
      <w:r>
        <w:rPr>
          <w:rFonts w:hint="eastAsia"/>
          <w:bCs/>
          <w:sz w:val="22"/>
          <w:szCs w:val="22"/>
        </w:rPr>
        <w:t>,</w:t>
      </w:r>
      <w:r>
        <w:rPr>
          <w:bCs/>
          <w:sz w:val="22"/>
          <w:szCs w:val="22"/>
        </w:rPr>
        <w:t xml:space="preserve"> or the Hedging Position Gains of Over 6%.</w:t>
      </w:r>
    </w:p>
    <w:p>
      <w:pPr>
        <w:widowControl/>
        <w:tabs>
          <w:tab w:val="left" w:pos="709"/>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775"/>
        </w:tabs>
        <w:adjustRightInd w:val="0"/>
        <w:snapToGrid w:val="0"/>
        <w:spacing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46</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47</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 xml:space="preserve">Wire </w:t>
      </w:r>
      <w:r>
        <w:rPr>
          <w:rFonts w:hint="eastAsia"/>
          <w:i/>
          <w:sz w:val="22"/>
          <w:szCs w:val="22"/>
        </w:rPr>
        <w:t>R</w:t>
      </w:r>
      <w:r>
        <w:rPr>
          <w:i/>
          <w:sz w:val="22"/>
          <w:szCs w:val="22"/>
        </w:rPr>
        <w:t>od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48</w:t>
      </w:r>
      <w:r>
        <w:rPr>
          <w:bCs/>
          <w:sz w:val="22"/>
          <w:szCs w:val="22"/>
        </w:rPr>
        <w:tab/>
      </w:r>
      <w:r>
        <w:rPr>
          <w:bCs/>
          <w:sz w:val="22"/>
          <w:szCs w:val="22"/>
        </w:rPr>
        <w:t xml:space="preserve">The Exchange reserves the right to interpret these </w:t>
      </w:r>
      <w:r>
        <w:rPr>
          <w:i/>
          <w:sz w:val="22"/>
          <w:szCs w:val="22"/>
        </w:rPr>
        <w:t xml:space="preserve">Wire </w:t>
      </w:r>
      <w:r>
        <w:rPr>
          <w:rFonts w:hint="eastAsia"/>
          <w:i/>
          <w:sz w:val="22"/>
          <w:szCs w:val="22"/>
        </w:rPr>
        <w:t>R</w:t>
      </w:r>
      <w:r>
        <w:rPr>
          <w:i/>
          <w:sz w:val="22"/>
          <w:szCs w:val="22"/>
        </w:rPr>
        <w:t>od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49</w:t>
      </w:r>
      <w:r>
        <w:rPr>
          <w:bCs/>
          <w:sz w:val="22"/>
          <w:szCs w:val="22"/>
        </w:rPr>
        <w:tab/>
      </w:r>
      <w:r>
        <w:rPr>
          <w:bCs/>
          <w:sz w:val="22"/>
          <w:szCs w:val="22"/>
        </w:rPr>
        <w:t xml:space="preserve">These </w:t>
      </w:r>
      <w:r>
        <w:rPr>
          <w:i/>
          <w:sz w:val="22"/>
          <w:szCs w:val="22"/>
        </w:rPr>
        <w:t xml:space="preserve">Wire </w:t>
      </w:r>
      <w:r>
        <w:rPr>
          <w:rFonts w:hint="eastAsia"/>
          <w:i/>
          <w:sz w:val="22"/>
          <w:szCs w:val="22"/>
        </w:rPr>
        <w:t>R</w:t>
      </w:r>
      <w:r>
        <w:rPr>
          <w:i/>
          <w:sz w:val="22"/>
          <w:szCs w:val="22"/>
        </w:rPr>
        <w:t>od Futures Rules</w:t>
      </w:r>
      <w:r>
        <w:rPr>
          <w:bCs/>
          <w:sz w:val="22"/>
          <w:szCs w:val="22"/>
        </w:rPr>
        <w:t xml:space="preserve"> </w:t>
      </w:r>
      <w:r>
        <w:rPr>
          <w:rFonts w:hint="eastAsia"/>
          <w:bCs/>
          <w:sz w:val="22"/>
          <w:szCs w:val="22"/>
        </w:rPr>
        <w:t>take effect on October 23</w:t>
      </w:r>
      <w:r>
        <w:rPr>
          <w:bCs/>
          <w:sz w:val="22"/>
          <w:szCs w:val="22"/>
        </w:rPr>
        <w:t xml:space="preserve">, </w:t>
      </w:r>
      <w:r>
        <w:rPr>
          <w:rFonts w:hint="eastAsia"/>
          <w:bCs/>
          <w:sz w:val="22"/>
          <w:szCs w:val="22"/>
        </w:rPr>
        <w:t>2024.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13</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563F"/>
    <w:rsid w:val="000164BC"/>
    <w:rsid w:val="000438F1"/>
    <w:rsid w:val="00057471"/>
    <w:rsid w:val="00072052"/>
    <w:rsid w:val="00097DF9"/>
    <w:rsid w:val="000A2952"/>
    <w:rsid w:val="000C5C46"/>
    <w:rsid w:val="000C7E93"/>
    <w:rsid w:val="000E1A68"/>
    <w:rsid w:val="00125B68"/>
    <w:rsid w:val="0012777F"/>
    <w:rsid w:val="00134FBB"/>
    <w:rsid w:val="001406B0"/>
    <w:rsid w:val="00175CD6"/>
    <w:rsid w:val="00175E89"/>
    <w:rsid w:val="001B65D3"/>
    <w:rsid w:val="001C34CE"/>
    <w:rsid w:val="001E254B"/>
    <w:rsid w:val="001F2F57"/>
    <w:rsid w:val="00200EE9"/>
    <w:rsid w:val="00226D33"/>
    <w:rsid w:val="002341AB"/>
    <w:rsid w:val="0027521C"/>
    <w:rsid w:val="0029383D"/>
    <w:rsid w:val="002A7F6E"/>
    <w:rsid w:val="002B0829"/>
    <w:rsid w:val="002B241E"/>
    <w:rsid w:val="002B5D4F"/>
    <w:rsid w:val="002B647D"/>
    <w:rsid w:val="002C4740"/>
    <w:rsid w:val="002D503B"/>
    <w:rsid w:val="002E42C5"/>
    <w:rsid w:val="002F76A3"/>
    <w:rsid w:val="0032403F"/>
    <w:rsid w:val="003333DE"/>
    <w:rsid w:val="00347696"/>
    <w:rsid w:val="003647AB"/>
    <w:rsid w:val="00394963"/>
    <w:rsid w:val="003C12E0"/>
    <w:rsid w:val="003D6543"/>
    <w:rsid w:val="003E6BE0"/>
    <w:rsid w:val="00407182"/>
    <w:rsid w:val="004161A6"/>
    <w:rsid w:val="004218E5"/>
    <w:rsid w:val="004229D6"/>
    <w:rsid w:val="004257F7"/>
    <w:rsid w:val="00426FDD"/>
    <w:rsid w:val="00431FED"/>
    <w:rsid w:val="00446526"/>
    <w:rsid w:val="00462F25"/>
    <w:rsid w:val="00474C7A"/>
    <w:rsid w:val="004A2F0F"/>
    <w:rsid w:val="004A4C8B"/>
    <w:rsid w:val="004B138F"/>
    <w:rsid w:val="004B568D"/>
    <w:rsid w:val="004E05B4"/>
    <w:rsid w:val="004E1AD1"/>
    <w:rsid w:val="004E54F2"/>
    <w:rsid w:val="004E686D"/>
    <w:rsid w:val="004F1CA2"/>
    <w:rsid w:val="005323C9"/>
    <w:rsid w:val="00535440"/>
    <w:rsid w:val="005568FA"/>
    <w:rsid w:val="005653A1"/>
    <w:rsid w:val="00572351"/>
    <w:rsid w:val="00575304"/>
    <w:rsid w:val="00576F5E"/>
    <w:rsid w:val="005B4DD4"/>
    <w:rsid w:val="005D36F3"/>
    <w:rsid w:val="005F24F3"/>
    <w:rsid w:val="005F5291"/>
    <w:rsid w:val="00623160"/>
    <w:rsid w:val="00627731"/>
    <w:rsid w:val="00655DCD"/>
    <w:rsid w:val="0067124E"/>
    <w:rsid w:val="00691F80"/>
    <w:rsid w:val="006B033B"/>
    <w:rsid w:val="006B3939"/>
    <w:rsid w:val="006C1A29"/>
    <w:rsid w:val="006C6297"/>
    <w:rsid w:val="006D4B63"/>
    <w:rsid w:val="007129CB"/>
    <w:rsid w:val="00731A3E"/>
    <w:rsid w:val="00740C24"/>
    <w:rsid w:val="00744565"/>
    <w:rsid w:val="007B10E6"/>
    <w:rsid w:val="007C67E1"/>
    <w:rsid w:val="007E1D77"/>
    <w:rsid w:val="007F6069"/>
    <w:rsid w:val="00800E31"/>
    <w:rsid w:val="00806085"/>
    <w:rsid w:val="008307AA"/>
    <w:rsid w:val="00843795"/>
    <w:rsid w:val="00844008"/>
    <w:rsid w:val="0086131A"/>
    <w:rsid w:val="00870292"/>
    <w:rsid w:val="00870FCF"/>
    <w:rsid w:val="008B1B03"/>
    <w:rsid w:val="008D4C4F"/>
    <w:rsid w:val="008E0BB1"/>
    <w:rsid w:val="008E690C"/>
    <w:rsid w:val="009021DB"/>
    <w:rsid w:val="00902FE8"/>
    <w:rsid w:val="00904619"/>
    <w:rsid w:val="009401DF"/>
    <w:rsid w:val="00940ACF"/>
    <w:rsid w:val="009505B2"/>
    <w:rsid w:val="00952064"/>
    <w:rsid w:val="009520AE"/>
    <w:rsid w:val="009700B9"/>
    <w:rsid w:val="009757C8"/>
    <w:rsid w:val="00980968"/>
    <w:rsid w:val="009810DD"/>
    <w:rsid w:val="00997E1E"/>
    <w:rsid w:val="009A0743"/>
    <w:rsid w:val="009C0558"/>
    <w:rsid w:val="009C7D54"/>
    <w:rsid w:val="009F3255"/>
    <w:rsid w:val="00A13328"/>
    <w:rsid w:val="00A201E7"/>
    <w:rsid w:val="00A25445"/>
    <w:rsid w:val="00A25643"/>
    <w:rsid w:val="00A60356"/>
    <w:rsid w:val="00A66DEF"/>
    <w:rsid w:val="00A86874"/>
    <w:rsid w:val="00A96F75"/>
    <w:rsid w:val="00AB370C"/>
    <w:rsid w:val="00AC6CCB"/>
    <w:rsid w:val="00AD4023"/>
    <w:rsid w:val="00AD7617"/>
    <w:rsid w:val="00AF51EF"/>
    <w:rsid w:val="00B07494"/>
    <w:rsid w:val="00B14CC7"/>
    <w:rsid w:val="00B25253"/>
    <w:rsid w:val="00B2706B"/>
    <w:rsid w:val="00B32A0C"/>
    <w:rsid w:val="00B45AA6"/>
    <w:rsid w:val="00B51034"/>
    <w:rsid w:val="00B9208B"/>
    <w:rsid w:val="00BB2A09"/>
    <w:rsid w:val="00BB2B1E"/>
    <w:rsid w:val="00BB37F4"/>
    <w:rsid w:val="00BC03BD"/>
    <w:rsid w:val="00BD6AE1"/>
    <w:rsid w:val="00C106CF"/>
    <w:rsid w:val="00C141C4"/>
    <w:rsid w:val="00C14E7F"/>
    <w:rsid w:val="00C230F6"/>
    <w:rsid w:val="00C32B19"/>
    <w:rsid w:val="00C75161"/>
    <w:rsid w:val="00C948ED"/>
    <w:rsid w:val="00CC1932"/>
    <w:rsid w:val="00CD378D"/>
    <w:rsid w:val="00CE0ED1"/>
    <w:rsid w:val="00D23B88"/>
    <w:rsid w:val="00D240E2"/>
    <w:rsid w:val="00D33777"/>
    <w:rsid w:val="00D602AB"/>
    <w:rsid w:val="00D66F17"/>
    <w:rsid w:val="00DB3D99"/>
    <w:rsid w:val="00DC594F"/>
    <w:rsid w:val="00DD4C23"/>
    <w:rsid w:val="00E22176"/>
    <w:rsid w:val="00E23361"/>
    <w:rsid w:val="00E257AE"/>
    <w:rsid w:val="00E369E7"/>
    <w:rsid w:val="00E57F05"/>
    <w:rsid w:val="00E606B2"/>
    <w:rsid w:val="00E75CEE"/>
    <w:rsid w:val="00E93D15"/>
    <w:rsid w:val="00ED0E75"/>
    <w:rsid w:val="00ED68CF"/>
    <w:rsid w:val="00EF2E2B"/>
    <w:rsid w:val="00F05C18"/>
    <w:rsid w:val="00F2236C"/>
    <w:rsid w:val="00F234F2"/>
    <w:rsid w:val="00F31647"/>
    <w:rsid w:val="00F6262B"/>
    <w:rsid w:val="00F63665"/>
    <w:rsid w:val="00F7531B"/>
    <w:rsid w:val="00F91936"/>
    <w:rsid w:val="00F93B80"/>
    <w:rsid w:val="00FC00A3"/>
    <w:rsid w:val="00FC2DFC"/>
    <w:rsid w:val="00FC5686"/>
    <w:rsid w:val="00FC67DC"/>
    <w:rsid w:val="1AC03002"/>
    <w:rsid w:val="33F716CE"/>
    <w:rsid w:val="43D62B0A"/>
    <w:rsid w:val="64383C98"/>
    <w:rsid w:val="79D40265"/>
    <w:rsid w:val="7E7D8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18</Pages>
  <Words>6035</Words>
  <Characters>34402</Characters>
  <Lines>286</Lines>
  <Paragraphs>80</Paragraphs>
  <TotalTime>11</TotalTime>
  <ScaleCrop>false</ScaleCrop>
  <LinksUpToDate>false</LinksUpToDate>
  <CharactersWithSpaces>40357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2024-08-05T11:24:00Z</dcterms:created>
  <dc:creator>Ubica</dc:creator>
  <cp:lastModifiedBy>guan.zhaohui</cp:lastModifiedBy>
  <dcterms:modified xsi:type="dcterms:W3CDTF">2024-10-22T14:09:51Z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CC5D75E9AFFF887EAF411767B915CDE6</vt:lpwstr>
  </property>
</Properties>
</file>