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A0" w:rsidRPr="00324E2F" w:rsidRDefault="005417A0" w:rsidP="005417A0">
      <w:pPr>
        <w:snapToGrid w:val="0"/>
        <w:spacing w:afterLines="100" w:line="276" w:lineRule="auto"/>
        <w:rPr>
          <w:rFonts w:ascii="Times New Roman" w:hAnsi="Times New Roman" w:cs="Times New Roman"/>
          <w:sz w:val="22"/>
        </w:rPr>
      </w:pPr>
      <w:r w:rsidRPr="00324E2F">
        <w:rPr>
          <w:rFonts w:ascii="Times New Roman" w:hAnsi="Times New Roman" w:cs="Times New Roman"/>
          <w:sz w:val="22"/>
        </w:rPr>
        <w:t>Appendix 3</w:t>
      </w:r>
    </w:p>
    <w:p w:rsidR="005417A0" w:rsidRPr="00324E2F" w:rsidRDefault="005417A0" w:rsidP="005417A0">
      <w:pPr>
        <w:snapToGrid w:val="0"/>
        <w:spacing w:afterLines="100" w:line="276" w:lineRule="auto"/>
        <w:jc w:val="center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324E2F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Key Points of Reference in the Implementation Plan and Internal Rules for Market-Making Business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"/>
        <w:gridCol w:w="3007"/>
        <w:gridCol w:w="4522"/>
      </w:tblGrid>
      <w:tr w:rsidR="005417A0" w:rsidRPr="00324E2F" w:rsidTr="00833E24">
        <w:tc>
          <w:tcPr>
            <w:tcW w:w="767" w:type="dxa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3007" w:type="dxa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Major Aspects</w:t>
            </w:r>
          </w:p>
        </w:tc>
        <w:tc>
          <w:tcPr>
            <w:tcW w:w="4522" w:type="dxa"/>
            <w:shd w:val="clear" w:color="auto" w:fill="auto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Key Points</w:t>
            </w:r>
          </w:p>
        </w:tc>
      </w:tr>
      <w:tr w:rsidR="005417A0" w:rsidRPr="00324E2F" w:rsidTr="00833E24">
        <w:tc>
          <w:tcPr>
            <w:tcW w:w="8296" w:type="dxa"/>
            <w:gridSpan w:val="3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b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b/>
                <w:kern w:val="0"/>
                <w:sz w:val="22"/>
              </w:rPr>
              <w:t>Implementation plan for market-making</w:t>
            </w:r>
          </w:p>
        </w:tc>
      </w:tr>
      <w:tr w:rsidR="005417A0" w:rsidRPr="00324E2F" w:rsidTr="00833E24">
        <w:tc>
          <w:tcPr>
            <w:tcW w:w="767" w:type="dxa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Overall plan for market-making business</w:t>
            </w:r>
          </w:p>
        </w:tc>
        <w:tc>
          <w:tcPr>
            <w:tcW w:w="4522" w:type="dxa"/>
            <w:shd w:val="clear" w:color="auto" w:fill="auto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Amount and use of </w:t>
            </w:r>
            <w:r w:rsidRPr="00324E2F">
              <w:rPr>
                <w:rFonts w:ascii="Times New Roman" w:hAnsi="Times New Roman" w:cs="Times New Roman" w:hint="eastAsia"/>
                <w:kern w:val="0"/>
                <w:sz w:val="22"/>
              </w:rPr>
              <w:t>funds and personnel details for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the market-making business </w:t>
            </w:r>
            <w:r w:rsidRPr="00324E2F">
              <w:rPr>
                <w:rFonts w:ascii="Times New Roman" w:hAnsi="Times New Roman" w:cs="Times New Roman" w:hint="eastAsia"/>
                <w:kern w:val="0"/>
                <w:sz w:val="22"/>
              </w:rPr>
              <w:t>of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the corresponding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product</w:t>
            </w:r>
          </w:p>
        </w:tc>
      </w:tr>
      <w:tr w:rsidR="005417A0" w:rsidRPr="00324E2F" w:rsidTr="00833E24">
        <w:tc>
          <w:tcPr>
            <w:tcW w:w="767" w:type="dxa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Market-making strategies</w:t>
            </w:r>
          </w:p>
        </w:tc>
        <w:tc>
          <w:tcPr>
            <w:tcW w:w="4522" w:type="dxa"/>
            <w:shd w:val="clear" w:color="auto" w:fill="auto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Pricing model, and quot</w:t>
            </w:r>
            <w:r w:rsidRPr="00324E2F">
              <w:rPr>
                <w:rFonts w:ascii="Times New Roman" w:hAnsi="Times New Roman" w:cs="Times New Roman" w:hint="eastAsia"/>
                <w:kern w:val="0"/>
                <w:sz w:val="22"/>
              </w:rPr>
              <w:t>ing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strategies, hedging strategies, management of positions and </w:t>
            </w:r>
            <w:r w:rsidRPr="00324E2F">
              <w:rPr>
                <w:rFonts w:ascii="Times New Roman" w:hAnsi="Times New Roman" w:cs="Times New Roman" w:hint="eastAsia"/>
                <w:kern w:val="0"/>
                <w:sz w:val="22"/>
              </w:rPr>
              <w:t>funds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, and decision-making procedures under different circumstances</w:t>
            </w:r>
          </w:p>
        </w:tc>
      </w:tr>
      <w:tr w:rsidR="005417A0" w:rsidRPr="00324E2F" w:rsidTr="00833E24">
        <w:tc>
          <w:tcPr>
            <w:tcW w:w="767" w:type="dxa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Management of bid-ask spread and participation ratio</w:t>
            </w:r>
          </w:p>
        </w:tc>
        <w:tc>
          <w:tcPr>
            <w:tcW w:w="4522" w:type="dxa"/>
            <w:shd w:val="clear" w:color="auto" w:fill="auto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Bid-ask spread, order size, and contract coverage ratio, as well as participation ratio under a limit-locked market and other extreme circumstances</w:t>
            </w:r>
          </w:p>
        </w:tc>
      </w:tr>
      <w:tr w:rsidR="005417A0" w:rsidRPr="00324E2F" w:rsidTr="00833E24">
        <w:tc>
          <w:tcPr>
            <w:tcW w:w="767" w:type="dxa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Expected evaluation results of market-making strategies and estimated profits and losses</w:t>
            </w:r>
          </w:p>
        </w:tc>
        <w:tc>
          <w:tcPr>
            <w:tcW w:w="4522" w:type="dxa"/>
            <w:shd w:val="clear" w:color="auto" w:fill="auto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Daily estimation of expected results of market-making performance evaluation </w:t>
            </w:r>
          </w:p>
        </w:tc>
      </w:tr>
      <w:tr w:rsidR="005417A0" w:rsidRPr="00324E2F" w:rsidTr="00833E24">
        <w:tc>
          <w:tcPr>
            <w:tcW w:w="8296" w:type="dxa"/>
            <w:gridSpan w:val="3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b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b/>
                <w:kern w:val="0"/>
                <w:sz w:val="22"/>
              </w:rPr>
              <w:t>Internal management rules</w:t>
            </w:r>
          </w:p>
        </w:tc>
      </w:tr>
      <w:tr w:rsidR="005417A0" w:rsidRPr="00324E2F" w:rsidTr="00833E24">
        <w:tc>
          <w:tcPr>
            <w:tcW w:w="767" w:type="dxa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Operation management</w:t>
            </w:r>
          </w:p>
        </w:tc>
        <w:tc>
          <w:tcPr>
            <w:tcW w:w="4522" w:type="dxa"/>
            <w:shd w:val="clear" w:color="auto" w:fill="auto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Elements of market-making operation management</w:t>
            </w:r>
          </w:p>
        </w:tc>
      </w:tr>
      <w:tr w:rsidR="005417A0" w:rsidRPr="00324E2F" w:rsidTr="00833E24">
        <w:tc>
          <w:tcPr>
            <w:tcW w:w="767" w:type="dxa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Compliance and internal control</w:t>
            </w:r>
          </w:p>
        </w:tc>
        <w:tc>
          <w:tcPr>
            <w:tcW w:w="4522" w:type="dxa"/>
            <w:shd w:val="clear" w:color="auto" w:fill="auto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Authorization management mechanism, investment decision-making procedures, and business segregation mechanism, etc.</w:t>
            </w:r>
          </w:p>
        </w:tc>
      </w:tr>
      <w:tr w:rsidR="005417A0" w:rsidRPr="00324E2F" w:rsidTr="00833E24">
        <w:tc>
          <w:tcPr>
            <w:tcW w:w="767" w:type="dxa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Supervision for market-making</w:t>
            </w:r>
          </w:p>
        </w:tc>
        <w:tc>
          <w:tcPr>
            <w:tcW w:w="4522" w:type="dxa"/>
            <w:shd w:val="clear" w:color="auto" w:fill="auto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Supervisory measures taken by the company for market-making, etc.</w:t>
            </w:r>
          </w:p>
        </w:tc>
      </w:tr>
      <w:tr w:rsidR="005417A0" w:rsidRPr="00324E2F" w:rsidTr="00833E24">
        <w:tc>
          <w:tcPr>
            <w:tcW w:w="767" w:type="dxa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Quota management</w:t>
            </w:r>
          </w:p>
        </w:tc>
        <w:tc>
          <w:tcPr>
            <w:tcW w:w="4522" w:type="dxa"/>
            <w:shd w:val="clear" w:color="auto" w:fill="auto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Internal procedures of managing positions for market-making business, etc.</w:t>
            </w:r>
          </w:p>
        </w:tc>
      </w:tr>
      <w:tr w:rsidR="005417A0" w:rsidRPr="00324E2F" w:rsidTr="00833E24">
        <w:tc>
          <w:tcPr>
            <w:tcW w:w="767" w:type="dxa"/>
            <w:shd w:val="clear" w:color="auto" w:fill="auto"/>
            <w:vAlign w:val="center"/>
          </w:tcPr>
          <w:p w:rsidR="005417A0" w:rsidRPr="00324E2F" w:rsidRDefault="005417A0" w:rsidP="00833E24">
            <w:pPr>
              <w:keepNext/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5417A0" w:rsidRPr="00324E2F" w:rsidRDefault="005417A0" w:rsidP="00833E24">
            <w:pPr>
              <w:keepNext/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Posts and responsibilities</w:t>
            </w:r>
          </w:p>
        </w:tc>
        <w:tc>
          <w:tcPr>
            <w:tcW w:w="4522" w:type="dxa"/>
            <w:shd w:val="clear" w:color="auto" w:fill="auto"/>
          </w:tcPr>
          <w:p w:rsidR="005417A0" w:rsidRPr="00324E2F" w:rsidRDefault="005417A0" w:rsidP="00833E24">
            <w:pPr>
              <w:keepNext/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Departments and personnel related to market-making business and their responsibilities</w:t>
            </w:r>
          </w:p>
        </w:tc>
      </w:tr>
      <w:tr w:rsidR="005417A0" w:rsidRPr="00324E2F" w:rsidTr="00833E24">
        <w:tc>
          <w:tcPr>
            <w:tcW w:w="8296" w:type="dxa"/>
            <w:gridSpan w:val="3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b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b/>
                <w:kern w:val="0"/>
                <w:sz w:val="22"/>
              </w:rPr>
              <w:t>Risk control rules</w:t>
            </w:r>
          </w:p>
        </w:tc>
      </w:tr>
      <w:tr w:rsidR="005417A0" w:rsidRPr="00324E2F" w:rsidTr="00833E24">
        <w:tc>
          <w:tcPr>
            <w:tcW w:w="767" w:type="dxa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Margin management</w:t>
            </w:r>
          </w:p>
        </w:tc>
        <w:tc>
          <w:tcPr>
            <w:tcW w:w="4522" w:type="dxa"/>
            <w:shd w:val="clear" w:color="auto" w:fill="auto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Margin monitoring and forced position liquidation management</w:t>
            </w:r>
          </w:p>
        </w:tc>
      </w:tr>
      <w:tr w:rsidR="005417A0" w:rsidRPr="00324E2F" w:rsidTr="00833E24">
        <w:tc>
          <w:tcPr>
            <w:tcW w:w="767" w:type="dxa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Market risk management</w:t>
            </w:r>
          </w:p>
        </w:tc>
        <w:tc>
          <w:tcPr>
            <w:tcW w:w="4522" w:type="dxa"/>
            <w:shd w:val="clear" w:color="auto" w:fill="auto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Management of overnight risk and significant price fluctuation risk of the market, etc.</w:t>
            </w:r>
          </w:p>
        </w:tc>
      </w:tr>
      <w:tr w:rsidR="005417A0" w:rsidRPr="00324E2F" w:rsidTr="00833E24">
        <w:tc>
          <w:tcPr>
            <w:tcW w:w="767" w:type="dxa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3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Management of expiring contracts and settlement risk</w:t>
            </w:r>
          </w:p>
        </w:tc>
        <w:tc>
          <w:tcPr>
            <w:tcW w:w="4522" w:type="dxa"/>
            <w:shd w:val="clear" w:color="auto" w:fill="auto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Management of expiring positions and settlement risk</w:t>
            </w:r>
          </w:p>
        </w:tc>
      </w:tr>
      <w:tr w:rsidR="005417A0" w:rsidRPr="00324E2F" w:rsidTr="00833E24">
        <w:tc>
          <w:tcPr>
            <w:tcW w:w="767" w:type="dxa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Operational risk management</w:t>
            </w:r>
          </w:p>
        </w:tc>
        <w:tc>
          <w:tcPr>
            <w:tcW w:w="4522" w:type="dxa"/>
            <w:shd w:val="clear" w:color="auto" w:fill="auto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Position limit, trading limit, and risk exposure limit, and front-end control such as rationality check and limit of authority</w:t>
            </w:r>
          </w:p>
        </w:tc>
      </w:tr>
      <w:tr w:rsidR="005417A0" w:rsidRPr="00324E2F" w:rsidTr="00833E24">
        <w:tc>
          <w:tcPr>
            <w:tcW w:w="767" w:type="dxa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Model risk management </w:t>
            </w:r>
          </w:p>
        </w:tc>
        <w:tc>
          <w:tcPr>
            <w:tcW w:w="4522" w:type="dxa"/>
            <w:shd w:val="clear" w:color="auto" w:fill="auto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Response to model failure, etc.</w:t>
            </w:r>
          </w:p>
        </w:tc>
      </w:tr>
      <w:tr w:rsidR="005417A0" w:rsidRPr="00324E2F" w:rsidTr="00833E24">
        <w:tc>
          <w:tcPr>
            <w:tcW w:w="767" w:type="dxa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Liquidity risk management</w:t>
            </w:r>
          </w:p>
        </w:tc>
        <w:tc>
          <w:tcPr>
            <w:tcW w:w="4522" w:type="dxa"/>
            <w:shd w:val="clear" w:color="auto" w:fill="auto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Response to liquidity risk, etc.</w:t>
            </w:r>
          </w:p>
        </w:tc>
      </w:tr>
      <w:tr w:rsidR="005417A0" w:rsidRPr="00324E2F" w:rsidTr="00833E24">
        <w:tc>
          <w:tcPr>
            <w:tcW w:w="767" w:type="dxa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Warning mechanism</w:t>
            </w:r>
          </w:p>
        </w:tc>
        <w:tc>
          <w:tcPr>
            <w:tcW w:w="4522" w:type="dxa"/>
            <w:shd w:val="clear" w:color="auto" w:fill="auto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Position limit and number of orders per second, etc.</w:t>
            </w:r>
          </w:p>
        </w:tc>
      </w:tr>
      <w:tr w:rsidR="005417A0" w:rsidRPr="00324E2F" w:rsidTr="00833E24">
        <w:tc>
          <w:tcPr>
            <w:tcW w:w="767" w:type="dxa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Management of profits and losses</w:t>
            </w:r>
          </w:p>
        </w:tc>
        <w:tc>
          <w:tcPr>
            <w:tcW w:w="4522" w:type="dxa"/>
            <w:shd w:val="clear" w:color="auto" w:fill="auto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Calculation of intraday</w:t>
            </w:r>
            <w:r w:rsidRPr="00324E2F">
              <w:rPr>
                <w:rFonts w:ascii="Times New Roman" w:hAnsi="Times New Roman" w:cs="Times New Roman" w:hint="eastAsia"/>
                <w:kern w:val="0"/>
                <w:sz w:val="22"/>
              </w:rPr>
              <w:t xml:space="preserve"> and end-of-day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profits and losses</w:t>
            </w:r>
            <w:r w:rsidRPr="00324E2F">
              <w:rPr>
                <w:rFonts w:ascii="Times New Roman" w:hAnsi="Times New Roman" w:cs="Times New Roman" w:hint="eastAsia"/>
                <w:kern w:val="0"/>
                <w:sz w:val="22"/>
              </w:rPr>
              <w:t>,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etc.</w:t>
            </w:r>
          </w:p>
        </w:tc>
      </w:tr>
      <w:tr w:rsidR="005417A0" w:rsidRPr="00324E2F" w:rsidTr="00833E24">
        <w:tc>
          <w:tcPr>
            <w:tcW w:w="767" w:type="dxa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Technical risk management </w:t>
            </w:r>
          </w:p>
        </w:tc>
        <w:tc>
          <w:tcPr>
            <w:tcW w:w="4522" w:type="dxa"/>
            <w:shd w:val="clear" w:color="auto" w:fill="auto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Classification of and methods to resolve </w:t>
            </w:r>
            <w:r w:rsidRPr="00324E2F">
              <w:rPr>
                <w:rFonts w:ascii="Times New Roman" w:hAnsi="Times New Roman" w:cs="Times New Roman" w:hint="eastAsia"/>
                <w:kern w:val="0"/>
                <w:sz w:val="22"/>
              </w:rPr>
              <w:t>technology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system risks, etc.</w:t>
            </w:r>
          </w:p>
        </w:tc>
      </w:tr>
      <w:tr w:rsidR="005417A0" w:rsidRPr="00324E2F" w:rsidTr="00833E24">
        <w:tc>
          <w:tcPr>
            <w:tcW w:w="767" w:type="dxa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Stress tests and reports</w:t>
            </w:r>
          </w:p>
        </w:tc>
        <w:tc>
          <w:tcPr>
            <w:tcW w:w="4522" w:type="dxa"/>
            <w:shd w:val="clear" w:color="auto" w:fill="auto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Stress tests on margin, income, and quot</w:t>
            </w:r>
            <w:r w:rsidRPr="00324E2F">
              <w:rPr>
                <w:rFonts w:ascii="Times New Roman" w:hAnsi="Times New Roman" w:cs="Times New Roman" w:hint="eastAsia"/>
                <w:kern w:val="0"/>
                <w:sz w:val="22"/>
              </w:rPr>
              <w:t>es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under different scenarios (including extreme circumstances)</w:t>
            </w:r>
          </w:p>
        </w:tc>
      </w:tr>
      <w:tr w:rsidR="005417A0" w:rsidRPr="00324E2F" w:rsidTr="00833E24">
        <w:tc>
          <w:tcPr>
            <w:tcW w:w="8296" w:type="dxa"/>
            <w:gridSpan w:val="3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b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b/>
                <w:kern w:val="0"/>
                <w:sz w:val="22"/>
              </w:rPr>
              <w:t>Description of market-making system</w:t>
            </w:r>
          </w:p>
        </w:tc>
      </w:tr>
      <w:tr w:rsidR="005417A0" w:rsidRPr="00324E2F" w:rsidTr="00833E24">
        <w:tc>
          <w:tcPr>
            <w:tcW w:w="767" w:type="dxa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Basic functions</w:t>
            </w:r>
          </w:p>
        </w:tc>
        <w:tc>
          <w:tcPr>
            <w:tcW w:w="4522" w:type="dxa"/>
            <w:shd w:val="clear" w:color="auto" w:fill="auto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Market-making strategies, contract management, order management, quot</w:t>
            </w:r>
            <w:r w:rsidRPr="00324E2F">
              <w:rPr>
                <w:rFonts w:ascii="Times New Roman" w:hAnsi="Times New Roman" w:cs="Times New Roman" w:hint="eastAsia"/>
                <w:kern w:val="0"/>
                <w:sz w:val="22"/>
              </w:rPr>
              <w:t>e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parameter management, and quot</w:t>
            </w:r>
            <w:r w:rsidRPr="00324E2F">
              <w:rPr>
                <w:rFonts w:ascii="Times New Roman" w:hAnsi="Times New Roman" w:cs="Times New Roman" w:hint="eastAsia"/>
                <w:kern w:val="0"/>
                <w:sz w:val="22"/>
              </w:rPr>
              <w:t>e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model management, mass order cancellation, and front-end control</w:t>
            </w:r>
          </w:p>
        </w:tc>
      </w:tr>
      <w:tr w:rsidR="005417A0" w:rsidRPr="00324E2F" w:rsidTr="00833E24">
        <w:tc>
          <w:tcPr>
            <w:tcW w:w="767" w:type="dxa"/>
            <w:shd w:val="clear" w:color="auto" w:fill="auto"/>
            <w:vAlign w:val="center"/>
          </w:tcPr>
          <w:p w:rsidR="005417A0" w:rsidRPr="00324E2F" w:rsidRDefault="005417A0" w:rsidP="00833E24">
            <w:pPr>
              <w:keepNext/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5417A0" w:rsidRPr="00324E2F" w:rsidRDefault="005417A0" w:rsidP="00833E24">
            <w:pPr>
              <w:keepNext/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Data management</w:t>
            </w:r>
          </w:p>
        </w:tc>
        <w:tc>
          <w:tcPr>
            <w:tcW w:w="4522" w:type="dxa"/>
            <w:shd w:val="clear" w:color="auto" w:fill="auto"/>
          </w:tcPr>
          <w:p w:rsidR="005417A0" w:rsidRPr="00324E2F" w:rsidRDefault="005417A0" w:rsidP="00833E24">
            <w:pPr>
              <w:keepNext/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Management of data and access permission of the market-making database</w:t>
            </w:r>
          </w:p>
        </w:tc>
      </w:tr>
      <w:tr w:rsidR="005417A0" w:rsidRPr="00324E2F" w:rsidTr="00833E24">
        <w:tc>
          <w:tcPr>
            <w:tcW w:w="8296" w:type="dxa"/>
            <w:gridSpan w:val="3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b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b/>
                <w:kern w:val="0"/>
                <w:sz w:val="22"/>
              </w:rPr>
              <w:t>Contingency plan</w:t>
            </w:r>
          </w:p>
        </w:tc>
      </w:tr>
      <w:tr w:rsidR="005417A0" w:rsidRPr="00324E2F" w:rsidTr="00833E24">
        <w:tc>
          <w:tcPr>
            <w:tcW w:w="767" w:type="dxa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Contingencies</w:t>
            </w:r>
          </w:p>
        </w:tc>
        <w:tc>
          <w:tcPr>
            <w:tcW w:w="4522" w:type="dxa"/>
            <w:shd w:val="clear" w:color="auto" w:fill="auto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Classification and analysis of contingencies</w:t>
            </w:r>
          </w:p>
        </w:tc>
      </w:tr>
      <w:tr w:rsidR="005417A0" w:rsidRPr="00324E2F" w:rsidTr="00833E24">
        <w:tc>
          <w:tcPr>
            <w:tcW w:w="767" w:type="dxa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Warning and response mechanisms</w:t>
            </w:r>
          </w:p>
        </w:tc>
        <w:tc>
          <w:tcPr>
            <w:tcW w:w="4522" w:type="dxa"/>
            <w:shd w:val="clear" w:color="auto" w:fill="auto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Warning mechanism, response mechanism, and internal procedure</w:t>
            </w:r>
          </w:p>
        </w:tc>
      </w:tr>
      <w:tr w:rsidR="005417A0" w:rsidRPr="00324E2F" w:rsidTr="00833E24">
        <w:tc>
          <w:tcPr>
            <w:tcW w:w="767" w:type="dxa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Plans for contingencies</w:t>
            </w:r>
          </w:p>
        </w:tc>
        <w:tc>
          <w:tcPr>
            <w:tcW w:w="4522" w:type="dxa"/>
            <w:shd w:val="clear" w:color="auto" w:fill="auto"/>
          </w:tcPr>
          <w:p w:rsidR="005417A0" w:rsidRPr="00324E2F" w:rsidRDefault="005417A0" w:rsidP="00833E24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Plans and internal procedures for various contingencies</w:t>
            </w:r>
          </w:p>
        </w:tc>
      </w:tr>
    </w:tbl>
    <w:p w:rsidR="005417A0" w:rsidRPr="00324E2F" w:rsidRDefault="005417A0" w:rsidP="005417A0">
      <w:pPr>
        <w:snapToGrid w:val="0"/>
        <w:spacing w:before="217" w:after="100" w:line="276" w:lineRule="auto"/>
        <w:rPr>
          <w:rFonts w:ascii="Times New Roman" w:hAnsi="Times New Roman" w:cs="Times New Roman"/>
          <w:sz w:val="22"/>
        </w:rPr>
      </w:pPr>
    </w:p>
    <w:p w:rsidR="00470887" w:rsidRPr="005417A0" w:rsidRDefault="00470887"/>
    <w:sectPr w:rsidR="00470887" w:rsidRPr="005417A0" w:rsidSect="00470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633" w:rsidRDefault="003B7633" w:rsidP="005417A0">
      <w:r>
        <w:separator/>
      </w:r>
    </w:p>
  </w:endnote>
  <w:endnote w:type="continuationSeparator" w:id="0">
    <w:p w:rsidR="003B7633" w:rsidRDefault="003B7633" w:rsidP="00541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633" w:rsidRDefault="003B7633" w:rsidP="005417A0">
      <w:r>
        <w:separator/>
      </w:r>
    </w:p>
  </w:footnote>
  <w:footnote w:type="continuationSeparator" w:id="0">
    <w:p w:rsidR="003B7633" w:rsidRDefault="003B7633" w:rsidP="005417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7A0"/>
    <w:rsid w:val="003B7633"/>
    <w:rsid w:val="00470887"/>
    <w:rsid w:val="00541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1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17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1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17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2575</Characters>
  <Application>Microsoft Office Word</Application>
  <DocSecurity>0</DocSecurity>
  <Lines>21</Lines>
  <Paragraphs>6</Paragraphs>
  <ScaleCrop>false</ScaleCrop>
  <Company>SHFE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盛瑶</dc:creator>
  <cp:keywords/>
  <dc:description/>
  <cp:lastModifiedBy>盛瑶</cp:lastModifiedBy>
  <cp:revision>2</cp:revision>
  <dcterms:created xsi:type="dcterms:W3CDTF">2025-01-16T08:48:00Z</dcterms:created>
  <dcterms:modified xsi:type="dcterms:W3CDTF">2025-01-16T08:49:00Z</dcterms:modified>
</cp:coreProperties>
</file>